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000000" w:themeColor="text1"/>
          <w:sz w:val="84"/>
          <w:szCs w:val="84"/>
          <w:highlight w:val="none"/>
        </w:rPr>
      </w:pPr>
    </w:p>
    <w:p>
      <w:pPr>
        <w:jc w:val="center"/>
        <w:rPr>
          <w:rFonts w:ascii="Times New Roman" w:hAnsi="Times New Roman" w:eastAsia="黑体" w:cs="Times New Roman"/>
          <w:b/>
          <w:color w:val="000000" w:themeColor="text1"/>
          <w:sz w:val="96"/>
          <w:szCs w:val="84"/>
          <w:highlight w:val="none"/>
        </w:rPr>
      </w:pPr>
      <w:r>
        <w:rPr>
          <w:rFonts w:ascii="Times New Roman" w:hAnsi="Times New Roman" w:eastAsia="黑体" w:cs="Times New Roman"/>
          <w:b/>
          <w:color w:val="000000" w:themeColor="text1"/>
          <w:sz w:val="96"/>
          <w:szCs w:val="84"/>
          <w:highlight w:val="none"/>
        </w:rPr>
        <w:t>招标文件</w:t>
      </w: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32"/>
          <w:szCs w:val="32"/>
          <w:highlight w:val="none"/>
        </w:rPr>
      </w:pPr>
    </w:p>
    <w:p>
      <w:pPr>
        <w:rPr>
          <w:rFonts w:ascii="Times New Roman" w:hAnsi="Times New Roman" w:eastAsia="黑体" w:cs="Times New Roman"/>
          <w:b/>
          <w:color w:val="000000" w:themeColor="text1"/>
          <w:sz w:val="28"/>
          <w:szCs w:val="32"/>
          <w:highlight w:val="none"/>
        </w:rPr>
      </w:pPr>
      <w:r>
        <w:rPr>
          <w:rFonts w:ascii="Times New Roman" w:hAnsi="Times New Roman" w:eastAsia="黑体" w:cs="Times New Roman"/>
          <w:b/>
          <w:color w:val="000000" w:themeColor="text1"/>
          <w:sz w:val="28"/>
          <w:szCs w:val="32"/>
          <w:highlight w:val="none"/>
        </w:rPr>
        <w:t>项目名称：</w:t>
      </w:r>
      <w:r>
        <w:rPr>
          <w:rFonts w:hint="eastAsia" w:ascii="Times New Roman" w:hAnsi="Times New Roman" w:eastAsia="黑体" w:cs="Times New Roman"/>
          <w:b/>
          <w:color w:val="000000" w:themeColor="text1"/>
          <w:sz w:val="28"/>
          <w:szCs w:val="32"/>
          <w:highlight w:val="none"/>
        </w:rPr>
        <w:t>重庆银行移动展业平台项目</w:t>
      </w:r>
    </w:p>
    <w:p>
      <w:pPr>
        <w:ind w:left="2530" w:hanging="2520" w:hangingChars="900"/>
        <w:rPr>
          <w:rFonts w:ascii="Times New Roman" w:hAnsi="Times New Roman" w:eastAsia="黑体" w:cs="Times New Roman"/>
          <w:b/>
          <w:color w:val="000000" w:themeColor="text1"/>
          <w:sz w:val="28"/>
          <w:szCs w:val="32"/>
          <w:highlight w:val="none"/>
        </w:rPr>
      </w:pPr>
    </w:p>
    <w:p>
      <w:pPr>
        <w:rPr>
          <w:rFonts w:ascii="Times New Roman" w:hAnsi="Times New Roman" w:eastAsia="黑体" w:cs="Times New Roman"/>
          <w:b/>
          <w:color w:val="000000" w:themeColor="text1"/>
          <w:sz w:val="28"/>
          <w:szCs w:val="32"/>
          <w:highlight w:val="none"/>
        </w:rPr>
      </w:pPr>
      <w:r>
        <w:rPr>
          <w:rFonts w:ascii="Times New Roman" w:hAnsi="Times New Roman" w:eastAsia="黑体" w:cs="Times New Roman"/>
          <w:b/>
          <w:color w:val="000000" w:themeColor="text1"/>
          <w:sz w:val="28"/>
          <w:szCs w:val="32"/>
          <w:highlight w:val="none"/>
        </w:rPr>
        <w:t>项目编号：</w:t>
      </w:r>
      <w:r>
        <w:rPr>
          <w:rFonts w:hint="eastAsia" w:ascii="Times New Roman" w:hAnsi="Times New Roman" w:eastAsia="黑体" w:cs="Times New Roman"/>
          <w:b/>
          <w:color w:val="000000" w:themeColor="text1"/>
          <w:sz w:val="28"/>
          <w:szCs w:val="32"/>
          <w:highlight w:val="none"/>
        </w:rPr>
        <w:t xml:space="preserve">0611-1900040351A </w:t>
      </w:r>
    </w:p>
    <w:p>
      <w:pPr>
        <w:rPr>
          <w:rFonts w:ascii="Times New Roman" w:hAnsi="Times New Roman" w:eastAsia="黑体" w:cs="Times New Roman"/>
          <w:b/>
          <w:color w:val="000000" w:themeColor="text1"/>
          <w:sz w:val="28"/>
          <w:szCs w:val="32"/>
          <w:highlight w:val="none"/>
        </w:rPr>
      </w:pPr>
    </w:p>
    <w:p>
      <w:pPr>
        <w:rPr>
          <w:rFonts w:ascii="Times New Roman" w:hAnsi="Times New Roman" w:eastAsia="黑体" w:cs="Times New Roman"/>
          <w:b/>
          <w:color w:val="000000" w:themeColor="text1"/>
          <w:sz w:val="28"/>
          <w:szCs w:val="32"/>
          <w:highlight w:val="none"/>
        </w:rPr>
      </w:pPr>
    </w:p>
    <w:p>
      <w:pPr>
        <w:rPr>
          <w:rFonts w:ascii="Times New Roman" w:hAnsi="Times New Roman" w:eastAsia="黑体" w:cs="Times New Roman"/>
          <w:b/>
          <w:color w:val="000000" w:themeColor="text1"/>
          <w:sz w:val="28"/>
          <w:szCs w:val="32"/>
          <w:highlight w:val="none"/>
        </w:rPr>
      </w:pPr>
    </w:p>
    <w:p>
      <w:pPr>
        <w:ind w:firstLine="840" w:firstLineChars="300"/>
        <w:rPr>
          <w:rFonts w:ascii="Times New Roman" w:hAnsi="Times New Roman" w:eastAsia="黑体" w:cs="Times New Roman"/>
          <w:b/>
          <w:color w:val="000000" w:themeColor="text1"/>
          <w:sz w:val="28"/>
          <w:szCs w:val="32"/>
          <w:highlight w:val="none"/>
        </w:rPr>
      </w:pPr>
      <w:r>
        <w:rPr>
          <w:rFonts w:ascii="Times New Roman" w:hAnsi="Times New Roman" w:eastAsia="黑体" w:cs="Times New Roman"/>
          <w:b/>
          <w:color w:val="000000" w:themeColor="text1"/>
          <w:sz w:val="28"/>
          <w:szCs w:val="32"/>
          <w:highlight w:val="none"/>
        </w:rPr>
        <w:t>招　标　人：重庆银行股份有限公司</w:t>
      </w:r>
    </w:p>
    <w:p>
      <w:pPr>
        <w:ind w:firstLine="840" w:firstLineChars="300"/>
        <w:rPr>
          <w:rFonts w:ascii="Times New Roman" w:hAnsi="Times New Roman" w:eastAsia="黑体" w:cs="Times New Roman"/>
          <w:b/>
          <w:color w:val="000000" w:themeColor="text1"/>
          <w:sz w:val="28"/>
          <w:szCs w:val="32"/>
          <w:highlight w:val="none"/>
        </w:rPr>
      </w:pPr>
      <w:r>
        <w:rPr>
          <w:rFonts w:ascii="Times New Roman" w:hAnsi="Times New Roman" w:eastAsia="黑体" w:cs="Times New Roman"/>
          <w:b/>
          <w:color w:val="000000" w:themeColor="text1"/>
          <w:sz w:val="28"/>
          <w:szCs w:val="32"/>
          <w:highlight w:val="none"/>
        </w:rPr>
        <w:t>招标代理机构：重庆招标采购（集团）有限责任公司</w:t>
      </w:r>
    </w:p>
    <w:p>
      <w:pPr>
        <w:jc w:val="center"/>
        <w:rPr>
          <w:rFonts w:ascii="Times New Roman" w:hAnsi="Times New Roman" w:eastAsia="黑体" w:cs="Times New Roman"/>
          <w:b/>
          <w:color w:val="000000" w:themeColor="text1"/>
          <w:sz w:val="28"/>
          <w:szCs w:val="32"/>
          <w:highlight w:val="none"/>
        </w:rPr>
      </w:pPr>
    </w:p>
    <w:p>
      <w:pPr>
        <w:jc w:val="center"/>
        <w:rPr>
          <w:rFonts w:ascii="Times New Roman" w:hAnsi="Times New Roman" w:eastAsia="黑体" w:cs="Times New Roman"/>
          <w:b/>
          <w:color w:val="000000" w:themeColor="text1"/>
          <w:sz w:val="28"/>
          <w:szCs w:val="32"/>
          <w:highlight w:val="none"/>
        </w:rPr>
        <w:sectPr>
          <w:footerReference r:id="rId5" w:type="first"/>
          <w:headerReference r:id="rId3" w:type="default"/>
          <w:footerReference r:id="rId4" w:type="default"/>
          <w:pgSz w:w="11906" w:h="16838"/>
          <w:pgMar w:top="1440" w:right="1466" w:bottom="1276" w:left="1800" w:header="851" w:footer="992" w:gutter="0"/>
          <w:cols w:space="720" w:num="1"/>
          <w:docGrid w:type="linesAndChars" w:linePitch="312" w:charSpace="0"/>
        </w:sectPr>
      </w:pPr>
      <w:r>
        <w:rPr>
          <w:rFonts w:ascii="Times New Roman" w:hAnsi="Times New Roman" w:eastAsia="黑体" w:cs="Times New Roman"/>
          <w:b/>
          <w:color w:val="000000" w:themeColor="text1"/>
          <w:sz w:val="28"/>
          <w:szCs w:val="32"/>
          <w:highlight w:val="none"/>
        </w:rPr>
        <w:t>201</w:t>
      </w:r>
      <w:r>
        <w:rPr>
          <w:rFonts w:hint="eastAsia" w:ascii="Times New Roman" w:hAnsi="Times New Roman" w:eastAsia="黑体" w:cs="Times New Roman"/>
          <w:b/>
          <w:color w:val="000000" w:themeColor="text1"/>
          <w:sz w:val="28"/>
          <w:szCs w:val="32"/>
          <w:highlight w:val="none"/>
        </w:rPr>
        <w:t>9</w:t>
      </w:r>
      <w:r>
        <w:rPr>
          <w:rFonts w:ascii="Times New Roman" w:hAnsi="Times New Roman" w:eastAsia="黑体" w:cs="Times New Roman"/>
          <w:b/>
          <w:color w:val="000000" w:themeColor="text1"/>
          <w:sz w:val="28"/>
          <w:szCs w:val="32"/>
          <w:highlight w:val="none"/>
        </w:rPr>
        <w:t>年</w:t>
      </w:r>
      <w:r>
        <w:rPr>
          <w:rFonts w:hint="eastAsia" w:ascii="Times New Roman" w:hAnsi="Times New Roman" w:eastAsia="黑体" w:cs="Times New Roman"/>
          <w:b/>
          <w:color w:val="000000" w:themeColor="text1"/>
          <w:sz w:val="28"/>
          <w:szCs w:val="32"/>
          <w:highlight w:val="none"/>
        </w:rPr>
        <w:t>5</w:t>
      </w:r>
      <w:r>
        <w:rPr>
          <w:rFonts w:ascii="Times New Roman" w:hAnsi="Times New Roman" w:eastAsia="黑体" w:cs="Times New Roman"/>
          <w:b/>
          <w:color w:val="000000" w:themeColor="text1"/>
          <w:sz w:val="28"/>
          <w:szCs w:val="32"/>
          <w:highlight w:val="none"/>
        </w:rPr>
        <w:t>月</w:t>
      </w:r>
    </w:p>
    <w:p>
      <w:pPr>
        <w:jc w:val="center"/>
        <w:rPr>
          <w:rFonts w:ascii="Times New Roman" w:hAnsi="Times New Roman" w:eastAsia="宋体" w:cs="Times New Roman"/>
          <w:color w:val="000000" w:themeColor="text1"/>
          <w:sz w:val="32"/>
          <w:szCs w:val="32"/>
          <w:highlight w:val="none"/>
        </w:rPr>
      </w:pPr>
    </w:p>
    <w:p>
      <w:pPr>
        <w:adjustRightInd w:val="0"/>
        <w:snapToGrid w:val="0"/>
        <w:spacing w:line="500" w:lineRule="atLeast"/>
        <w:jc w:val="center"/>
        <w:rPr>
          <w:rFonts w:ascii="Times New Roman" w:hAnsi="Times New Roman" w:eastAsia="黑体" w:cs="Times New Roman"/>
          <w:color w:val="000000" w:themeColor="text1"/>
          <w:sz w:val="36"/>
          <w:szCs w:val="36"/>
          <w:highlight w:val="none"/>
        </w:rPr>
      </w:pPr>
      <w:r>
        <w:rPr>
          <w:rFonts w:ascii="Times New Roman" w:hAnsi="Times New Roman" w:eastAsia="黑体" w:cs="Times New Roman"/>
          <w:b/>
          <w:color w:val="000000" w:themeColor="text1"/>
          <w:sz w:val="36"/>
          <w:szCs w:val="36"/>
          <w:highlight w:val="none"/>
        </w:rPr>
        <w:t>目录</w:t>
      </w:r>
    </w:p>
    <w:p>
      <w:pPr>
        <w:adjustRightInd w:val="0"/>
        <w:snapToGrid w:val="0"/>
        <w:spacing w:line="500" w:lineRule="atLeast"/>
        <w:jc w:val="center"/>
        <w:rPr>
          <w:rFonts w:ascii="Times New Roman" w:hAnsi="Times New Roman" w:eastAsia="黑体" w:cs="Times New Roman"/>
          <w:color w:val="000000" w:themeColor="text1"/>
          <w:sz w:val="36"/>
          <w:szCs w:val="36"/>
          <w:highlight w:val="none"/>
        </w:rPr>
      </w:pPr>
    </w:p>
    <w:p>
      <w:pPr>
        <w:tabs>
          <w:tab w:val="right" w:leader="dot" w:pos="8630"/>
        </w:tabs>
        <w:spacing w:before="120" w:after="120"/>
        <w:jc w:val="left"/>
        <w:rPr>
          <w:rFonts w:ascii="Calibri" w:hAnsi="Calibri" w:eastAsia="黑体" w:cs="Times New Roman"/>
          <w:color w:val="000000" w:themeColor="text1"/>
          <w:sz w:val="28"/>
          <w:highlight w:val="none"/>
        </w:rPr>
      </w:pPr>
      <w:r>
        <w:rPr>
          <w:rFonts w:ascii="Calibri" w:hAnsi="Calibri" w:eastAsia="宋体" w:cs="Times New Roman"/>
          <w:b/>
          <w:bCs/>
          <w:caps/>
          <w:color w:val="000000" w:themeColor="text1"/>
          <w:sz w:val="24"/>
          <w:szCs w:val="24"/>
          <w:highlight w:val="none"/>
        </w:rPr>
        <w:fldChar w:fldCharType="begin"/>
      </w:r>
      <w:r>
        <w:rPr>
          <w:rFonts w:ascii="Calibri" w:hAnsi="Calibri" w:eastAsia="宋体" w:cs="Times New Roman"/>
          <w:b/>
          <w:bCs/>
          <w:caps/>
          <w:color w:val="000000" w:themeColor="text1"/>
          <w:sz w:val="24"/>
          <w:szCs w:val="24"/>
          <w:highlight w:val="none"/>
        </w:rPr>
        <w:instrText xml:space="preserve"> TOC \o "1-1" \h \z </w:instrText>
      </w:r>
      <w:r>
        <w:rPr>
          <w:rFonts w:ascii="Calibri" w:hAnsi="Calibri" w:eastAsia="宋体" w:cs="Times New Roman"/>
          <w:b/>
          <w:bCs/>
          <w:caps/>
          <w:color w:val="000000" w:themeColor="text1"/>
          <w:sz w:val="24"/>
          <w:szCs w:val="24"/>
          <w:highlight w:val="none"/>
        </w:rPr>
        <w:fldChar w:fldCharType="separate"/>
      </w:r>
      <w:r>
        <w:rPr>
          <w:color w:val="000000" w:themeColor="text1"/>
          <w:highlight w:val="none"/>
        </w:rPr>
        <w:fldChar w:fldCharType="begin"/>
      </w:r>
      <w:r>
        <w:rPr>
          <w:color w:val="000000" w:themeColor="text1"/>
          <w:highlight w:val="none"/>
        </w:rPr>
        <w:instrText xml:space="preserve"> HYPERLINK \l "_Toc489972849"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第一章招标公告</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begin"/>
      </w:r>
      <w:r>
        <w:rPr>
          <w:rFonts w:ascii="Calibri" w:hAnsi="Calibri" w:eastAsia="黑体" w:cs="Times New Roman"/>
          <w:b/>
          <w:bCs/>
          <w:caps/>
          <w:color w:val="000000" w:themeColor="text1"/>
          <w:sz w:val="24"/>
          <w:szCs w:val="20"/>
          <w:highlight w:val="none"/>
        </w:rPr>
        <w:instrText xml:space="preserve"> PAGEREF _Toc489972849 \h </w:instrText>
      </w:r>
      <w:r>
        <w:rPr>
          <w:rFonts w:ascii="Calibri" w:hAnsi="Calibri" w:eastAsia="黑体" w:cs="Times New Roman"/>
          <w:b/>
          <w:bCs/>
          <w:caps/>
          <w:color w:val="000000" w:themeColor="text1"/>
          <w:sz w:val="24"/>
          <w:szCs w:val="20"/>
          <w:highlight w:val="none"/>
        </w:rPr>
        <w:fldChar w:fldCharType="separate"/>
      </w:r>
      <w:r>
        <w:rPr>
          <w:rFonts w:ascii="Calibri" w:hAnsi="Calibri" w:eastAsia="黑体" w:cs="Times New Roman"/>
          <w:b/>
          <w:bCs/>
          <w:caps/>
          <w:color w:val="000000" w:themeColor="text1"/>
          <w:sz w:val="24"/>
          <w:szCs w:val="20"/>
          <w:highlight w:val="none"/>
        </w:rPr>
        <w:t>1</w:t>
      </w:r>
      <w:r>
        <w:rPr>
          <w:rFonts w:ascii="Calibri" w:hAnsi="Calibri" w:eastAsia="黑体" w:cs="Times New Roman"/>
          <w:b/>
          <w:bCs/>
          <w:caps/>
          <w:color w:val="000000" w:themeColor="text1"/>
          <w:sz w:val="24"/>
          <w:szCs w:val="20"/>
          <w:highlight w:val="none"/>
        </w:rPr>
        <w:fldChar w:fldCharType="end"/>
      </w:r>
      <w:r>
        <w:rPr>
          <w:rFonts w:ascii="Calibri" w:hAnsi="Calibri" w:eastAsia="黑体" w:cs="Times New Roman"/>
          <w:b/>
          <w:bCs/>
          <w:caps/>
          <w:color w:val="000000" w:themeColor="text1"/>
          <w:sz w:val="24"/>
          <w:szCs w:val="20"/>
          <w:highlight w:val="none"/>
        </w:rPr>
        <w:fldChar w:fldCharType="end"/>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"_Toc489972850"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第二章投标人须知</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5</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"_Toc489972851"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第三章评标方法</w:t>
      </w:r>
      <w:r>
        <w:rPr>
          <w:rFonts w:ascii="Calibri" w:hAnsi="Calibri" w:eastAsia="黑体" w:cs="Times New Roman"/>
          <w:b/>
          <w:bCs/>
          <w:caps/>
          <w:color w:val="000000" w:themeColor="text1"/>
          <w:sz w:val="24"/>
          <w:szCs w:val="20"/>
          <w:highlight w:val="none"/>
        </w:rPr>
        <w:tab/>
      </w:r>
      <w:r>
        <w:rPr>
          <w:rFonts w:hint="eastAsia" w:ascii="Calibri" w:hAnsi="Calibri" w:eastAsia="黑体" w:cs="Times New Roman"/>
          <w:b/>
          <w:bCs/>
          <w:caps/>
          <w:color w:val="000000" w:themeColor="text1"/>
          <w:sz w:val="24"/>
          <w:szCs w:val="20"/>
          <w:highlight w:val="none"/>
        </w:rPr>
        <w:t>2</w:t>
      </w:r>
      <w:r>
        <w:rPr>
          <w:rFonts w:hint="eastAsia"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4</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"_Toc489972852"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第四章合同条款及格式（部分）</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32</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"_Toc489972853"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第五章项目需求</w:t>
      </w:r>
      <w:r>
        <w:rPr>
          <w:rFonts w:ascii="Calibri" w:hAnsi="Calibri" w:eastAsia="黑体" w:cs="Times New Roman"/>
          <w:b/>
          <w:bCs/>
          <w:caps/>
          <w:color w:val="000000" w:themeColor="text1"/>
          <w:sz w:val="24"/>
          <w:szCs w:val="20"/>
          <w:highlight w:val="none"/>
        </w:rPr>
        <w:tab/>
      </w:r>
      <w:r>
        <w:rPr>
          <w:rFonts w:hint="eastAsia" w:ascii="Calibri" w:hAnsi="Calibri" w:eastAsia="黑体" w:cs="Times New Roman"/>
          <w:b/>
          <w:bCs/>
          <w:caps/>
          <w:color w:val="000000" w:themeColor="text1"/>
          <w:sz w:val="24"/>
          <w:szCs w:val="20"/>
          <w:highlight w:val="none"/>
        </w:rPr>
        <w:t>6</w:t>
      </w:r>
      <w:r>
        <w:rPr>
          <w:rFonts w:hint="eastAsia"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3</w:t>
      </w:r>
    </w:p>
    <w:p>
      <w:pPr>
        <w:tabs>
          <w:tab w:val="right" w:leader="dot" w:pos="8630"/>
        </w:tabs>
        <w:spacing w:before="120" w:after="120"/>
        <w:jc w:val="left"/>
        <w:rPr>
          <w:rFonts w:ascii="Calibri" w:hAnsi="Calibri" w:eastAsia="黑体" w:cs="Times New Roman"/>
          <w:color w:val="000000" w:themeColor="text1"/>
          <w:sz w:val="28"/>
          <w:highlight w:val="none"/>
        </w:rPr>
      </w:pPr>
      <w:r>
        <w:rPr>
          <w:color w:val="000000" w:themeColor="text1"/>
          <w:highlight w:val="none"/>
        </w:rPr>
        <w:fldChar w:fldCharType="begin"/>
      </w:r>
      <w:r>
        <w:rPr>
          <w:color w:val="000000" w:themeColor="text1"/>
          <w:highlight w:val="none"/>
        </w:rPr>
        <w:instrText xml:space="preserve"> HYPERLINK \l "_Toc489972857" </w:instrText>
      </w:r>
      <w:r>
        <w:rPr>
          <w:color w:val="000000" w:themeColor="text1"/>
          <w:highlight w:val="none"/>
        </w:rPr>
        <w:fldChar w:fldCharType="separate"/>
      </w:r>
      <w:r>
        <w:rPr>
          <w:rFonts w:hint="eastAsia" w:ascii="Times New Roman" w:hAnsi="Times New Roman" w:eastAsia="黑体" w:cs="Times New Roman"/>
          <w:b/>
          <w:bCs/>
          <w:caps/>
          <w:color w:val="000000" w:themeColor="text1"/>
          <w:sz w:val="24"/>
          <w:szCs w:val="20"/>
          <w:highlight w:val="none"/>
          <w:u w:val="single"/>
        </w:rPr>
        <w:t>第六章投标文件格式</w:t>
      </w:r>
      <w:r>
        <w:rPr>
          <w:rFonts w:ascii="Calibri" w:hAnsi="Calibri" w:eastAsia="黑体" w:cs="Times New Roman"/>
          <w:b/>
          <w:bCs/>
          <w:caps/>
          <w:color w:val="000000" w:themeColor="text1"/>
          <w:sz w:val="24"/>
          <w:szCs w:val="20"/>
          <w:highlight w:val="none"/>
        </w:rPr>
        <w:tab/>
      </w:r>
      <w:r>
        <w:rPr>
          <w:rFonts w:ascii="Calibri" w:hAnsi="Calibri" w:eastAsia="黑体" w:cs="Times New Roman"/>
          <w:b/>
          <w:bCs/>
          <w:caps/>
          <w:color w:val="000000" w:themeColor="text1"/>
          <w:sz w:val="24"/>
          <w:szCs w:val="20"/>
          <w:highlight w:val="none"/>
        </w:rPr>
        <w:fldChar w:fldCharType="end"/>
      </w:r>
      <w:r>
        <w:rPr>
          <w:rFonts w:hint="eastAsia" w:ascii="Calibri" w:hAnsi="Calibri" w:eastAsia="黑体" w:cs="Times New Roman"/>
          <w:b/>
          <w:bCs/>
          <w:caps/>
          <w:color w:val="000000" w:themeColor="text1"/>
          <w:sz w:val="24"/>
          <w:szCs w:val="20"/>
          <w:highlight w:val="none"/>
        </w:rPr>
        <w:t>69</w:t>
      </w:r>
    </w:p>
    <w:p>
      <w:pPr>
        <w:spacing w:line="3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fldChar w:fldCharType="end"/>
      </w:r>
    </w:p>
    <w:p>
      <w:pPr>
        <w:keepNext/>
        <w:keepLines/>
        <w:numPr>
          <w:ilvl w:val="1"/>
          <w:numId w:val="0"/>
        </w:numPr>
        <w:tabs>
          <w:tab w:val="left" w:pos="708"/>
        </w:tabs>
        <w:snapToGrid w:val="0"/>
        <w:spacing w:line="300" w:lineRule="exact"/>
        <w:jc w:val="center"/>
        <w:outlineLvl w:val="1"/>
        <w:rPr>
          <w:rFonts w:ascii="Times New Roman" w:hAnsi="Times New Roman" w:eastAsia="宋体" w:cs="Times New Roman"/>
          <w:b/>
          <w:bCs/>
          <w:color w:val="000000" w:themeColor="text1"/>
          <w:kern w:val="0"/>
          <w:sz w:val="30"/>
          <w:szCs w:val="30"/>
          <w:highlight w:val="none"/>
        </w:rPr>
        <w:sectPr>
          <w:headerReference r:id="rId6" w:type="default"/>
          <w:footerReference r:id="rId7" w:type="default"/>
          <w:pgSz w:w="11906" w:h="16838"/>
          <w:pgMar w:top="1440" w:right="1466" w:bottom="1276" w:left="1800" w:header="851" w:footer="992" w:gutter="0"/>
          <w:pgNumType w:start="1"/>
          <w:cols w:space="720" w:num="1"/>
          <w:docGrid w:type="linesAndChars" w:linePitch="312" w:charSpace="0"/>
        </w:sectPr>
      </w:pPr>
    </w:p>
    <w:p>
      <w:pPr>
        <w:keepNext/>
        <w:keepLines/>
        <w:spacing w:line="360" w:lineRule="auto"/>
        <w:ind w:firstLine="880" w:firstLineChars="200"/>
        <w:jc w:val="center"/>
        <w:outlineLvl w:val="0"/>
        <w:rPr>
          <w:rFonts w:ascii="Calibri" w:hAnsi="Calibri" w:eastAsia="黑体" w:cs="Times New Roman"/>
          <w:b/>
          <w:bCs/>
          <w:color w:val="000000" w:themeColor="text1"/>
          <w:kern w:val="44"/>
          <w:sz w:val="44"/>
          <w:szCs w:val="44"/>
          <w:highlight w:val="none"/>
        </w:rPr>
      </w:pPr>
      <w:bookmarkStart w:id="0" w:name="_Toc489972849"/>
      <w:bookmarkStart w:id="1" w:name="OLE_LINK1"/>
      <w:r>
        <w:rPr>
          <w:rFonts w:ascii="Calibri" w:hAnsi="Calibri" w:eastAsia="黑体" w:cs="Times New Roman"/>
          <w:b/>
          <w:bCs/>
          <w:color w:val="000000" w:themeColor="text1"/>
          <w:kern w:val="44"/>
          <w:sz w:val="44"/>
          <w:szCs w:val="44"/>
          <w:highlight w:val="none"/>
        </w:rPr>
        <w:t>第一章招标公告</w:t>
      </w:r>
      <w:bookmarkEnd w:id="0"/>
    </w:p>
    <w:p>
      <w:pPr>
        <w:widowControl/>
        <w:spacing w:line="360" w:lineRule="auto"/>
        <w:jc w:val="left"/>
        <w:rPr>
          <w:rFonts w:ascii="Times New Roman" w:hAnsi="Times New Roman" w:cs="Times New Roman"/>
          <w:b/>
          <w:color w:val="000000" w:themeColor="text1"/>
          <w:sz w:val="24"/>
          <w:highlight w:val="none"/>
          <w:lang w:val="ru-RU"/>
        </w:rPr>
      </w:pPr>
      <w:bookmarkStart w:id="2" w:name="_Toc2623"/>
      <w:r>
        <w:rPr>
          <w:rFonts w:hint="eastAsia" w:ascii="Times New Roman" w:hAnsi="Times New Roman" w:cs="Times New Roman"/>
          <w:b/>
          <w:color w:val="000000" w:themeColor="text1"/>
          <w:spacing w:val="1"/>
          <w:sz w:val="24"/>
          <w:highlight w:val="none"/>
          <w:lang w:val="ru-RU"/>
        </w:rPr>
        <w:t>一、招标条件</w:t>
      </w:r>
    </w:p>
    <w:p>
      <w:pPr>
        <w:widowControl/>
        <w:spacing w:line="360" w:lineRule="auto"/>
        <w:ind w:left="422"/>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2"/>
          <w:highlight w:val="none"/>
          <w:lang w:val="ru-RU"/>
        </w:rPr>
        <w:t>本</w:t>
      </w:r>
      <w:r>
        <w:rPr>
          <w:rFonts w:hint="eastAsia" w:ascii="Times New Roman" w:hAnsi="Times New Roman" w:cs="Times New Roman"/>
          <w:color w:val="000000" w:themeColor="text1"/>
          <w:spacing w:val="-1"/>
          <w:highlight w:val="none"/>
          <w:lang w:val="ru-RU"/>
        </w:rPr>
        <w:t>重庆银行移动展业平台项目已由项目审批</w:t>
      </w:r>
      <w:r>
        <w:rPr>
          <w:rFonts w:ascii="Times New Roman" w:hAnsi="Times New Roman" w:cs="Times New Roman"/>
          <w:color w:val="000000" w:themeColor="text1"/>
          <w:spacing w:val="-2"/>
          <w:highlight w:val="none"/>
          <w:lang w:val="ru-RU"/>
        </w:rPr>
        <w:t>/</w:t>
      </w:r>
      <w:r>
        <w:rPr>
          <w:rFonts w:hint="eastAsia" w:ascii="Times New Roman" w:hAnsi="Times New Roman" w:cs="Times New Roman"/>
          <w:color w:val="000000" w:themeColor="text1"/>
          <w:spacing w:val="-1"/>
          <w:highlight w:val="none"/>
          <w:lang w:val="ru-RU"/>
        </w:rPr>
        <w:t>核准</w:t>
      </w:r>
      <w:r>
        <w:rPr>
          <w:rFonts w:ascii="Times New Roman" w:hAnsi="Times New Roman" w:cs="Times New Roman"/>
          <w:color w:val="000000" w:themeColor="text1"/>
          <w:highlight w:val="none"/>
          <w:lang w:val="ru-RU"/>
        </w:rPr>
        <w:t>/</w:t>
      </w:r>
      <w:r>
        <w:rPr>
          <w:rFonts w:hint="eastAsia" w:ascii="Times New Roman" w:hAnsi="Times New Roman" w:cs="Times New Roman"/>
          <w:color w:val="000000" w:themeColor="text1"/>
          <w:spacing w:val="-5"/>
          <w:highlight w:val="none"/>
          <w:lang w:val="ru-RU"/>
        </w:rPr>
        <w:t>备案机关批准，项目资金为</w:t>
      </w:r>
      <w:r>
        <w:rPr>
          <w:rFonts w:hint="eastAsia" w:ascii="Times New Roman" w:hAnsi="Times New Roman" w:cs="Times New Roman"/>
          <w:color w:val="000000" w:themeColor="text1"/>
          <w:spacing w:val="-1"/>
          <w:highlight w:val="none"/>
          <w:lang w:val="ru-RU"/>
        </w:rPr>
        <w:t>自筹资金</w:t>
      </w:r>
      <w:r>
        <w:rPr>
          <w:rFonts w:hint="eastAsia" w:ascii="Times New Roman" w:hAnsi="Times New Roman" w:cs="Times New Roman"/>
          <w:color w:val="000000" w:themeColor="text1"/>
          <w:highlight w:val="none"/>
        </w:rPr>
        <w:t>300</w:t>
      </w:r>
      <w:r>
        <w:rPr>
          <w:rFonts w:hint="eastAsia" w:ascii="Times New Roman" w:hAnsi="Times New Roman" w:cs="Times New Roman"/>
          <w:color w:val="000000" w:themeColor="text1"/>
          <w:highlight w:val="none"/>
          <w:lang w:val="ru-RU"/>
        </w:rPr>
        <w:t>万元</w:t>
      </w:r>
      <w:r>
        <w:rPr>
          <w:rFonts w:hint="eastAsia" w:ascii="Times New Roman" w:hAnsi="Times New Roman" w:cs="Times New Roman"/>
          <w:color w:val="000000" w:themeColor="text1"/>
          <w:spacing w:val="-1"/>
          <w:highlight w:val="none"/>
          <w:lang w:val="ru-RU"/>
        </w:rPr>
        <w:t>；招标人为重庆银行股份有限公司。本项目已具备招标条件，现进行公开招标</w:t>
      </w:r>
      <w:r>
        <w:rPr>
          <w:rFonts w:hint="eastAsia" w:ascii="Times New Roman" w:hAnsi="Times New Roman" w:cs="Times New Roman"/>
          <w:color w:val="000000" w:themeColor="text1"/>
          <w:highlight w:val="none"/>
          <w:lang w:val="ru-RU"/>
        </w:rPr>
        <w:t>。</w:t>
      </w:r>
    </w:p>
    <w:p>
      <w:pPr>
        <w:widowControl/>
        <w:spacing w:line="360" w:lineRule="auto"/>
        <w:jc w:val="left"/>
        <w:rPr>
          <w:rFonts w:ascii="Times New Roman" w:hAnsi="Times New Roman" w:cs="Times New Roman"/>
          <w:b/>
          <w:color w:val="000000" w:themeColor="text1"/>
          <w:spacing w:val="1"/>
          <w:sz w:val="24"/>
          <w:highlight w:val="none"/>
          <w:lang w:val="ru-RU"/>
        </w:rPr>
      </w:pPr>
      <w:r>
        <w:rPr>
          <w:rFonts w:hint="eastAsia" w:ascii="Times New Roman" w:hAnsi="Times New Roman" w:cs="Times New Roman"/>
          <w:b/>
          <w:color w:val="000000" w:themeColor="text1"/>
          <w:spacing w:val="1"/>
          <w:sz w:val="24"/>
          <w:highlight w:val="none"/>
          <w:lang w:val="ru-RU"/>
        </w:rPr>
        <w:t>二、项目概况和招标范围</w:t>
      </w:r>
    </w:p>
    <w:p>
      <w:pPr>
        <w:widowControl/>
        <w:spacing w:line="440" w:lineRule="exact"/>
        <w:ind w:left="42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规模：重庆银行移动展业平台项目（分包一：移动展业平台软件开发采购预算：</w:t>
      </w:r>
      <w:r>
        <w:rPr>
          <w:rFonts w:hint="eastAsia" w:ascii="Times New Roman" w:hAnsi="Times New Roman" w:cs="Times New Roman"/>
          <w:color w:val="000000" w:themeColor="text1"/>
          <w:spacing w:val="-1"/>
          <w:highlight w:val="none"/>
        </w:rPr>
        <w:t>220</w:t>
      </w:r>
      <w:r>
        <w:rPr>
          <w:rFonts w:hint="eastAsia" w:ascii="Times New Roman" w:hAnsi="Times New Roman" w:cs="Times New Roman"/>
          <w:color w:val="000000" w:themeColor="text1"/>
          <w:spacing w:val="-1"/>
          <w:highlight w:val="none"/>
          <w:lang w:val="ru-RU"/>
        </w:rPr>
        <w:t>万元，分包二：移动展业平台配套硬件采购预算：</w:t>
      </w:r>
      <w:r>
        <w:rPr>
          <w:rFonts w:hint="eastAsia" w:ascii="Times New Roman" w:hAnsi="Times New Roman" w:cs="Times New Roman"/>
          <w:color w:val="000000" w:themeColor="text1"/>
          <w:spacing w:val="-1"/>
          <w:highlight w:val="none"/>
        </w:rPr>
        <w:t>80</w:t>
      </w:r>
      <w:r>
        <w:rPr>
          <w:rFonts w:hint="eastAsia" w:ascii="Times New Roman" w:hAnsi="Times New Roman" w:cs="Times New Roman"/>
          <w:color w:val="000000" w:themeColor="text1"/>
          <w:spacing w:val="-1"/>
          <w:highlight w:val="none"/>
          <w:lang w:val="ru-RU"/>
        </w:rPr>
        <w:t>万元）</w:t>
      </w:r>
      <w:r>
        <w:rPr>
          <w:rFonts w:ascii="Times New Roman" w:hAnsi="Times New Roman" w:cs="Times New Roman"/>
          <w:color w:val="000000" w:themeColor="text1"/>
          <w:spacing w:val="-2"/>
          <w:highlight w:val="none"/>
          <w:lang w:val="ru-RU"/>
        </w:rPr>
        <w:t>,</w:t>
      </w:r>
      <w:r>
        <w:rPr>
          <w:rFonts w:hint="eastAsia" w:ascii="Times New Roman" w:hAnsi="Times New Roman" w:cs="Times New Roman"/>
          <w:color w:val="000000" w:themeColor="text1"/>
          <w:spacing w:val="-1"/>
          <w:highlight w:val="none"/>
          <w:lang w:val="ru-RU"/>
        </w:rPr>
        <w:t>采购预算：300万元。</w:t>
      </w:r>
    </w:p>
    <w:p>
      <w:pPr>
        <w:widowControl/>
        <w:spacing w:line="440" w:lineRule="exact"/>
        <w:ind w:left="42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范围：本招标项目划分为</w:t>
      </w:r>
      <w:r>
        <w:rPr>
          <w:rFonts w:hint="eastAsia" w:ascii="Times New Roman" w:hAnsi="Times New Roman" w:cs="Times New Roman"/>
          <w:color w:val="000000" w:themeColor="text1"/>
          <w:highlight w:val="none"/>
        </w:rPr>
        <w:t>2</w:t>
      </w:r>
      <w:r>
        <w:rPr>
          <w:rFonts w:hint="eastAsia" w:ascii="Times New Roman" w:hAnsi="Times New Roman" w:cs="Times New Roman"/>
          <w:color w:val="000000" w:themeColor="text1"/>
          <w:spacing w:val="-1"/>
          <w:highlight w:val="none"/>
          <w:lang w:val="ru-RU"/>
        </w:rPr>
        <w:t>个标段，本次招标为其中的：</w:t>
      </w:r>
    </w:p>
    <w:p>
      <w:pPr>
        <w:widowControl/>
        <w:spacing w:line="440" w:lineRule="exact"/>
        <w:ind w:left="422"/>
        <w:jc w:val="left"/>
        <w:rPr>
          <w:rFonts w:ascii="Times New Roman" w:hAnsi="Times New Roman" w:cs="Times New Roman"/>
          <w:color w:val="000000" w:themeColor="text1"/>
          <w:highlight w:val="none"/>
          <w:lang w:val="ru-RU"/>
        </w:rPr>
      </w:pPr>
      <w:r>
        <w:rPr>
          <w:rFonts w:ascii="Times New Roman" w:hAnsi="Times New Roman" w:cs="Times New Roman"/>
          <w:color w:val="000000" w:themeColor="text1"/>
          <w:spacing w:val="-1"/>
          <w:highlight w:val="none"/>
          <w:lang w:val="ru-RU"/>
        </w:rPr>
        <w:t>(001)</w:t>
      </w:r>
      <w:r>
        <w:rPr>
          <w:rFonts w:hint="eastAsia" w:ascii="Times New Roman" w:hAnsi="Times New Roman" w:cs="Times New Roman"/>
          <w:color w:val="000000" w:themeColor="text1"/>
          <w:spacing w:val="-1"/>
          <w:highlight w:val="none"/>
          <w:lang w:val="ru-RU"/>
        </w:rPr>
        <w:t>分包一：移动展业平台软件开发。</w:t>
      </w:r>
    </w:p>
    <w:p>
      <w:pPr>
        <w:widowControl/>
        <w:spacing w:line="440" w:lineRule="exact"/>
        <w:ind w:firstLine="315" w:firstLineChars="15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（002）</w:t>
      </w:r>
      <w:r>
        <w:rPr>
          <w:rFonts w:hint="eastAsia" w:ascii="Times New Roman" w:hAnsi="Times New Roman" w:cs="Times New Roman"/>
          <w:color w:val="000000" w:themeColor="text1"/>
          <w:spacing w:val="-1"/>
          <w:highlight w:val="none"/>
          <w:lang w:val="ru-RU"/>
        </w:rPr>
        <w:t>分包二：移动展业平台配套硬件</w:t>
      </w:r>
      <w:r>
        <w:rPr>
          <w:rFonts w:hint="eastAsia" w:ascii="Times New Roman" w:hAnsi="Times New Roman" w:cs="Times New Roman"/>
          <w:color w:val="000000" w:themeColor="text1"/>
          <w:highlight w:val="none"/>
          <w:lang w:val="ru-RU"/>
        </w:rPr>
        <w:t>。</w:t>
      </w:r>
    </w:p>
    <w:p>
      <w:pPr>
        <w:widowControl/>
        <w:spacing w:line="360" w:lineRule="auto"/>
        <w:jc w:val="left"/>
        <w:rPr>
          <w:rFonts w:ascii="Times New Roman" w:hAnsi="Times New Roman" w:cs="Times New Roman"/>
          <w:b/>
          <w:color w:val="000000" w:themeColor="text1"/>
          <w:spacing w:val="1"/>
          <w:sz w:val="24"/>
          <w:highlight w:val="none"/>
          <w:lang w:val="ru-RU"/>
        </w:rPr>
      </w:pPr>
      <w:r>
        <w:rPr>
          <w:rFonts w:hint="eastAsia" w:ascii="Times New Roman" w:hAnsi="Times New Roman" w:cs="Times New Roman"/>
          <w:b/>
          <w:color w:val="000000" w:themeColor="text1"/>
          <w:spacing w:val="1"/>
          <w:sz w:val="24"/>
          <w:highlight w:val="none"/>
          <w:lang w:val="ru-RU"/>
        </w:rPr>
        <w:t>三、投标人资格要求</w:t>
      </w:r>
    </w:p>
    <w:p>
      <w:pPr>
        <w:widowControl/>
        <w:spacing w:line="360" w:lineRule="auto"/>
        <w:ind w:firstLine="412" w:firstLineChars="200"/>
        <w:jc w:val="left"/>
        <w:rPr>
          <w:rFonts w:ascii="Times New Roman" w:hAnsi="Times New Roman" w:cs="Times New Roman"/>
          <w:color w:val="000000" w:themeColor="text1"/>
          <w:highlight w:val="none"/>
          <w:lang w:val="ru-RU"/>
        </w:rPr>
      </w:pPr>
      <w:r>
        <w:rPr>
          <w:rFonts w:ascii="Times New Roman" w:hAnsi="Times New Roman" w:cs="Times New Roman"/>
          <w:color w:val="000000" w:themeColor="text1"/>
          <w:spacing w:val="-2"/>
          <w:highlight w:val="none"/>
          <w:lang w:val="ru-RU"/>
        </w:rPr>
        <w:t>(001</w:t>
      </w:r>
      <w:r>
        <w:rPr>
          <w:rFonts w:hint="eastAsia" w:ascii="Times New Roman" w:hAnsi="Times New Roman" w:cs="Times New Roman"/>
          <w:color w:val="000000" w:themeColor="text1"/>
          <w:spacing w:val="-1"/>
          <w:highlight w:val="none"/>
          <w:lang w:val="ru-RU"/>
        </w:rPr>
        <w:t>分包一：移动展业平台软件开发</w:t>
      </w:r>
      <w:r>
        <w:rPr>
          <w:rFonts w:ascii="Times New Roman" w:hAnsi="Times New Roman" w:cs="Times New Roman"/>
          <w:color w:val="000000" w:themeColor="text1"/>
          <w:spacing w:val="1"/>
          <w:highlight w:val="none"/>
          <w:lang w:val="ru-RU"/>
        </w:rPr>
        <w:t>)</w:t>
      </w:r>
      <w:r>
        <w:rPr>
          <w:rFonts w:hint="eastAsia" w:ascii="Times New Roman" w:hAnsi="Times New Roman" w:cs="Times New Roman"/>
          <w:color w:val="000000" w:themeColor="text1"/>
          <w:spacing w:val="-1"/>
          <w:highlight w:val="none"/>
          <w:lang w:val="ru-RU"/>
        </w:rPr>
        <w:t>的投标人资格能力要求：</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1.具有独立法人资格（提供营业执照复印件并加盖投标人公章，原件备查）。</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2.投标人不能委托第三方代理投标；</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3.近2年内（2017年1月至本招标文件发出日期间）实施过一个银行业移动展业或移动营销独立项目案例。</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认定标准】：(1)提供合同复印件，应至少包含合同首页、服务或产品内容页及甲乙双方盖章页。2018年以来的案例提供实施合同复印件即可，2017年的案例需同时提供实施合同复印件及最新的维保合同复印件（或项目验收报告复印件）;(2)案例中客户须为国内五大行(工、农、中、建、交)分行或以上级别，或全国股份制商业银行分行或以上级别，或城商行总行级、农村商业银行总行级或农信社总行级。</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【特别说明】：以上所有复印件须加盖投标人公章，原件备查。</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(002</w:t>
      </w:r>
      <w:r>
        <w:rPr>
          <w:rFonts w:hint="eastAsia" w:ascii="Times New Roman" w:hAnsi="Times New Roman" w:cs="Times New Roman"/>
          <w:color w:val="000000" w:themeColor="text1"/>
          <w:spacing w:val="-1"/>
          <w:highlight w:val="none"/>
          <w:lang w:val="ru-RU"/>
        </w:rPr>
        <w:t>分包二：移动展业平台配套硬件</w:t>
      </w:r>
      <w:r>
        <w:rPr>
          <w:rFonts w:hint="eastAsia" w:ascii="Times New Roman" w:hAnsi="Times New Roman" w:cs="Times New Roman"/>
          <w:color w:val="000000" w:themeColor="text1"/>
          <w:highlight w:val="none"/>
          <w:lang w:val="ru-RU"/>
        </w:rPr>
        <w:t>)的投标人资格能力要求：</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1.投标人具有独立法人资格（提供营业执照复印件并加盖投标人公章，原件备查）；</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2.投标人不能委托第三方代理投标；</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3.2015年1月1日（含）至本招标文件发出日期间（案例时间以合同时间为准），投标人中标或实施过2个移动的背夹或移动智能终端与银行业金融机构合作的案例。</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【认定标准】：(1)提供中标入围通知书或销售合同复印件，合同应至少包含首页、服务或产品内容页及甲乙双方盖章页;(2) 案例中客户须为国内五大行(工、农、中、建、交)分行或以上级别，或全国股份制商业银行分行或以上级别，或城商行总行级、农村商业银行总行级或农信社总行级。</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【特别说明】：以上所有复印件须加盖投标人公章，原件备查。</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p>
    <w:p>
      <w:pPr>
        <w:widowControl/>
        <w:spacing w:line="360" w:lineRule="auto"/>
        <w:ind w:firstLine="416"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本项目不允许联合体投标。</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四、招标文件的获取</w:t>
      </w:r>
    </w:p>
    <w:p>
      <w:pPr>
        <w:widowControl/>
        <w:spacing w:before="120" w:after="240" w:line="440" w:lineRule="exact"/>
        <w:rPr>
          <w:rFonts w:ascii="DLRIFU+ËÎÌå" w:hAnsi="DLRIFU+ËÎÌå" w:cs="DLRIFU+ËÎÌå"/>
          <w:color w:val="000000" w:themeColor="text1"/>
          <w:highlight w:val="none"/>
          <w:lang w:val="ru-RU"/>
        </w:rPr>
      </w:pPr>
      <w:r>
        <w:rPr>
          <w:rFonts w:ascii="DLRIFU+ËÎÌå" w:hAnsi="DLRIFU+ËÎÌå" w:cs="DLRIFU+ËÎÌå"/>
          <w:color w:val="000000" w:themeColor="text1"/>
          <w:spacing w:val="-1"/>
          <w:highlight w:val="none"/>
          <w:lang w:val="ru-RU"/>
        </w:rPr>
        <w:t>获取时间：</w:t>
      </w:r>
      <w:r>
        <w:rPr>
          <w:rFonts w:ascii="DLRIFU+ËÎÌå" w:hAnsi="DLRIFU+ËÎÌå" w:cs="DLRIFU+ËÎÌå"/>
          <w:color w:val="000000" w:themeColor="text1"/>
          <w:highlight w:val="none"/>
          <w:lang w:val="ru-RU"/>
        </w:rPr>
        <w:t>从</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5</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31</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09</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分到</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25</w:t>
      </w:r>
      <w:bookmarkStart w:id="301" w:name="_GoBack"/>
      <w:bookmarkEnd w:id="301"/>
      <w:r>
        <w:rPr>
          <w:rFonts w:ascii="DLRIFU+ËÎÌå" w:hAnsi="DLRIFU+ËÎÌå" w:cs="DLRIFU+ËÎÌå"/>
          <w:color w:val="000000" w:themeColor="text1"/>
          <w:highlight w:val="none"/>
          <w:lang w:val="ru-RU"/>
        </w:rPr>
        <w:t>日</w:t>
      </w:r>
      <w:r>
        <w:rPr>
          <w:rFonts w:hint="eastAsia" w:ascii="DLRIFU+ËÎÌå" w:hAnsi="DLRIFU+ËÎÌå" w:cs="DLRIFU+ËÎÌå"/>
          <w:color w:val="000000" w:themeColor="text1"/>
          <w:highlight w:val="none"/>
          <w:lang w:val="en-US" w:eastAsia="zh-CN"/>
        </w:rPr>
        <w:t>09</w:t>
      </w:r>
      <w:r>
        <w:rPr>
          <w:rFonts w:ascii="DLRIFU+ËÎÌå" w:hAnsi="DLRIFU+ËÎÌå" w:cs="DLRIFU+ËÎÌå"/>
          <w:color w:val="000000" w:themeColor="text1"/>
          <w:highlight w:val="none"/>
          <w:lang w:val="ru-RU"/>
        </w:rPr>
        <w:t>时</w:t>
      </w:r>
      <w:r>
        <w:rPr>
          <w:rFonts w:hint="eastAsia" w:ascii="DLRIFU+ËÎÌå" w:hAnsi="DLRIFU+ËÎÌå" w:cs="DLRIFU+ËÎÌå"/>
          <w:color w:val="000000" w:themeColor="text1"/>
          <w:highlight w:val="none"/>
          <w:lang w:val="en-US" w:eastAsia="zh-CN"/>
        </w:rPr>
        <w:t>59</w:t>
      </w:r>
      <w:r>
        <w:rPr>
          <w:rFonts w:ascii="DLRIFU+ËÎÌå" w:hAnsi="DLRIFU+ËÎÌå" w:cs="DLRIFU+ËÎÌå"/>
          <w:color w:val="000000" w:themeColor="text1"/>
          <w:highlight w:val="none"/>
          <w:lang w:val="ru-RU"/>
        </w:rPr>
        <w:t>分</w:t>
      </w:r>
    </w:p>
    <w:p>
      <w:pPr>
        <w:widowControl/>
        <w:spacing w:before="247" w:line="440" w:lineRule="exact"/>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spacing w:val="-1"/>
          <w:highlight w:val="none"/>
          <w:lang w:val="ru-RU"/>
        </w:rPr>
        <w:t>获取方式：</w:t>
      </w:r>
      <w:r>
        <w:rPr>
          <w:rFonts w:hint="eastAsia" w:ascii="DLRIFU+ËÎÌå" w:hAnsi="DLRIFU+ËÎÌå" w:cs="DLRIFU+ËÎÌå"/>
          <w:color w:val="000000" w:themeColor="text1"/>
          <w:spacing w:val="-1"/>
          <w:highlight w:val="none"/>
          <w:lang w:val="ru-RU"/>
        </w:rPr>
        <w:t>凡愿意参加的潜在投标人，从本公告发布之日起至投标截止时间前，均可登录（《重庆国际投资咨询集团网》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line="360" w:lineRule="auto"/>
        <w:ind w:firstLine="416" w:firstLineChars="200"/>
        <w:jc w:val="left"/>
        <w:rPr>
          <w:color w:val="000000" w:themeColor="text1"/>
          <w:spacing w:val="-1"/>
          <w:highlight w:val="none"/>
          <w:lang w:val="ru-RU"/>
        </w:rPr>
      </w:pPr>
    </w:p>
    <w:p>
      <w:pPr>
        <w:widowControl/>
        <w:spacing w:line="360" w:lineRule="auto"/>
        <w:jc w:val="left"/>
        <w:rPr>
          <w:rFonts w:ascii="DLRIFU+ËÎÌå" w:hAnsi="DLRIFU+ËÎÌå" w:cs="DLRIFU+ËÎÌå"/>
          <w:color w:val="000000" w:themeColor="text1"/>
          <w:spacing w:val="-1"/>
          <w:highlight w:val="none"/>
          <w:lang w:val="ru-RU"/>
        </w:rPr>
      </w:pPr>
      <w:r>
        <w:rPr>
          <w:rFonts w:hint="eastAsia"/>
          <w:color w:val="000000" w:themeColor="text1"/>
          <w:spacing w:val="-1"/>
          <w:highlight w:val="none"/>
          <w:lang w:val="ru-RU"/>
        </w:rPr>
        <w:t>特别说明：同一投标人对本项目不同分包进行投标的，须按照招标文件相关规定按不同分包分别制作投标文件。</w:t>
      </w:r>
    </w:p>
    <w:p>
      <w:pPr>
        <w:widowControl/>
        <w:spacing w:before="232"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五、投标文件的递交</w:t>
      </w:r>
    </w:p>
    <w:p>
      <w:pPr>
        <w:widowControl/>
        <w:spacing w:before="22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递交截止时间：</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25</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10</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3"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递交方式：</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KLRFJD+ËÎÌå" w:asciiTheme="minorEastAsia" w:hAnsiTheme="minorEastAsia"/>
          <w:color w:val="000000" w:themeColor="text1"/>
          <w:spacing w:val="-6"/>
          <w:highlight w:val="none"/>
          <w:lang w:val="ru-RU"/>
        </w:rPr>
        <w:t>。</w:t>
      </w:r>
      <w:r>
        <w:rPr>
          <w:rFonts w:ascii="DLRIFU+ËÎÌå" w:hAnsi="DLRIFU+ËÎÌå" w:cs="DLRIFU+ËÎÌå"/>
          <w:color w:val="000000" w:themeColor="text1"/>
          <w:spacing w:val="-6"/>
          <w:highlight w:val="none"/>
          <w:lang w:val="ru-RU"/>
        </w:rPr>
        <w:t>现场递交。</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六、开标时间及地点</w:t>
      </w:r>
    </w:p>
    <w:p>
      <w:pPr>
        <w:widowControl/>
        <w:spacing w:before="156"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开标时间：</w:t>
      </w:r>
      <w:r>
        <w:rPr>
          <w:rFonts w:ascii="Calibri"/>
          <w:color w:val="000000" w:themeColor="text1"/>
          <w:spacing w:val="-1"/>
          <w:highlight w:val="none"/>
          <w:lang w:val="ru-RU"/>
        </w:rPr>
        <w:t>201</w:t>
      </w:r>
      <w:r>
        <w:rPr>
          <w:rFonts w:hint="eastAsia" w:ascii="Calibri"/>
          <w:color w:val="000000" w:themeColor="text1"/>
          <w:spacing w:val="-1"/>
          <w:highlight w:val="none"/>
          <w:lang w:val="ru-RU"/>
        </w:rPr>
        <w:t>9</w:t>
      </w:r>
      <w:r>
        <w:rPr>
          <w:rFonts w:ascii="DLRIFU+ËÎÌå" w:hAnsi="DLRIFU+ËÎÌå" w:cs="DLRIFU+ËÎÌå"/>
          <w:color w:val="000000" w:themeColor="text1"/>
          <w:highlight w:val="none"/>
          <w:lang w:val="ru-RU"/>
        </w:rPr>
        <w:t>年</w:t>
      </w:r>
      <w:r>
        <w:rPr>
          <w:rFonts w:hint="eastAsia" w:ascii="DLRIFU+ËÎÌå" w:hAnsi="DLRIFU+ËÎÌå" w:cs="DLRIFU+ËÎÌå"/>
          <w:color w:val="000000" w:themeColor="text1"/>
          <w:highlight w:val="none"/>
          <w:lang w:val="en-US" w:eastAsia="zh-CN"/>
        </w:rPr>
        <w:t>6</w:t>
      </w:r>
      <w:r>
        <w:rPr>
          <w:rFonts w:ascii="DLRIFU+ËÎÌå" w:hAnsi="DLRIFU+ËÎÌå" w:cs="DLRIFU+ËÎÌå"/>
          <w:color w:val="000000" w:themeColor="text1"/>
          <w:highlight w:val="none"/>
          <w:lang w:val="ru-RU"/>
        </w:rPr>
        <w:t>月</w:t>
      </w:r>
      <w:r>
        <w:rPr>
          <w:rFonts w:hint="eastAsia" w:ascii="DLRIFU+ËÎÌå" w:hAnsi="DLRIFU+ËÎÌå" w:cs="DLRIFU+ËÎÌå"/>
          <w:color w:val="000000" w:themeColor="text1"/>
          <w:highlight w:val="none"/>
          <w:lang w:val="en-US" w:eastAsia="zh-CN"/>
        </w:rPr>
        <w:t>25</w:t>
      </w:r>
      <w:r>
        <w:rPr>
          <w:rFonts w:ascii="DLRIFU+ËÎÌå" w:hAnsi="DLRIFU+ËÎÌå" w:cs="DLRIFU+ËÎÌå"/>
          <w:color w:val="000000" w:themeColor="text1"/>
          <w:highlight w:val="none"/>
          <w:lang w:val="ru-RU"/>
        </w:rPr>
        <w:t>日</w:t>
      </w:r>
      <w:r>
        <w:rPr>
          <w:rFonts w:ascii="Calibri"/>
          <w:color w:val="000000" w:themeColor="text1"/>
          <w:spacing w:val="-1"/>
          <w:highlight w:val="none"/>
          <w:lang w:val="ru-RU"/>
        </w:rPr>
        <w:t>10</w:t>
      </w:r>
      <w:r>
        <w:rPr>
          <w:rFonts w:ascii="DLRIFU+ËÎÌå" w:hAnsi="DLRIFU+ËÎÌå" w:cs="DLRIFU+ËÎÌå"/>
          <w:color w:val="000000" w:themeColor="text1"/>
          <w:highlight w:val="none"/>
          <w:lang w:val="ru-RU"/>
        </w:rPr>
        <w:t>时</w:t>
      </w:r>
      <w:r>
        <w:rPr>
          <w:rFonts w:ascii="Calibri"/>
          <w:color w:val="000000" w:themeColor="text1"/>
          <w:spacing w:val="-1"/>
          <w:highlight w:val="none"/>
          <w:lang w:val="ru-RU"/>
        </w:rPr>
        <w:t>00</w:t>
      </w:r>
      <w:r>
        <w:rPr>
          <w:rFonts w:ascii="DLRIFU+ËÎÌå" w:hAnsi="DLRIFU+ËÎÌå" w:cs="DLRIFU+ËÎÌå"/>
          <w:color w:val="000000" w:themeColor="text1"/>
          <w:highlight w:val="none"/>
          <w:lang w:val="ru-RU"/>
        </w:rPr>
        <w:t>分</w:t>
      </w:r>
    </w:p>
    <w:p>
      <w:pPr>
        <w:widowControl/>
        <w:spacing w:before="150" w:line="440" w:lineRule="exact"/>
        <w:ind w:left="420"/>
        <w:jc w:val="left"/>
        <w:rPr>
          <w:rFonts w:ascii="DLRIFU+ËÎÌå"/>
          <w:color w:val="000000" w:themeColor="text1"/>
          <w:highlight w:val="none"/>
          <w:lang w:val="ru-RU"/>
        </w:rPr>
      </w:pPr>
      <w:r>
        <w:rPr>
          <w:rFonts w:ascii="DLRIFU+ËÎÌå" w:hAnsi="DLRIFU+ËÎÌå" w:cs="DLRIFU+ËÎÌå"/>
          <w:color w:val="000000" w:themeColor="text1"/>
          <w:spacing w:val="-1"/>
          <w:highlight w:val="none"/>
          <w:lang w:val="ru-RU"/>
        </w:rPr>
        <w:t>开标地点：</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cs="KLRFJD+ËÎÌå" w:asciiTheme="minorEastAsia" w:hAnsiTheme="minorEastAsia"/>
          <w:color w:val="000000" w:themeColor="text1"/>
          <w:spacing w:val="-6"/>
          <w:highlight w:val="none"/>
          <w:lang w:val="ru-RU"/>
        </w:rPr>
        <w:t>。</w:t>
      </w:r>
    </w:p>
    <w:p>
      <w:pPr>
        <w:widowControl/>
        <w:spacing w:before="128" w:line="440" w:lineRule="exact"/>
        <w:jc w:val="left"/>
        <w:rPr>
          <w:rFonts w:ascii="DLRIFU+ËÎÌå"/>
          <w:color w:val="000000" w:themeColor="text1"/>
          <w:sz w:val="24"/>
          <w:highlight w:val="none"/>
          <w:lang w:val="ru-RU"/>
        </w:rPr>
      </w:pPr>
      <w:r>
        <w:rPr>
          <w:rFonts w:ascii="DLRIFU+ËÎÌå" w:hAnsi="DLRIFU+ËÎÌå" w:cs="DLRIFU+ËÎÌå"/>
          <w:color w:val="000000" w:themeColor="text1"/>
          <w:spacing w:val="1"/>
          <w:sz w:val="24"/>
          <w:highlight w:val="none"/>
          <w:lang w:val="ru-RU"/>
        </w:rPr>
        <w:t>七、其他</w:t>
      </w:r>
    </w:p>
    <w:p>
      <w:pPr>
        <w:widowControl/>
        <w:spacing w:before="144" w:line="440" w:lineRule="exact"/>
        <w:ind w:firstLine="416" w:firstLineChars="200"/>
        <w:jc w:val="left"/>
        <w:rPr>
          <w:rFonts w:ascii="DLRIFU+ËÎÌå" w:hAnsi="DLRIFU+ËÎÌå" w:cs="DLRIFU+ËÎÌå"/>
          <w:color w:val="000000" w:themeColor="text1"/>
          <w:spacing w:val="-2"/>
          <w:highlight w:val="none"/>
          <w:lang w:val="ru-RU"/>
        </w:rPr>
      </w:pPr>
      <w:r>
        <w:rPr>
          <w:rFonts w:hint="eastAsia" w:ascii="Times New Roman" w:hAnsi="Times New Roman" w:cs="Times New Roman"/>
          <w:color w:val="000000" w:themeColor="text1"/>
          <w:spacing w:val="-1"/>
          <w:highlight w:val="none"/>
          <w:lang w:val="ru-RU"/>
        </w:rPr>
        <w:t>分包一：移动展业平台软件开发</w:t>
      </w:r>
    </w:p>
    <w:p>
      <w:pPr>
        <w:widowControl/>
        <w:spacing w:before="144" w:line="440" w:lineRule="exact"/>
        <w:ind w:firstLine="412" w:firstLineChars="200"/>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2"/>
          <w:highlight w:val="none"/>
          <w:lang w:val="ru-RU"/>
        </w:rPr>
        <w:t>（</w:t>
      </w:r>
      <w:r>
        <w:rPr>
          <w:rFonts w:ascii="Calibri"/>
          <w:color w:val="000000" w:themeColor="text1"/>
          <w:spacing w:val="-1"/>
          <w:highlight w:val="none"/>
          <w:lang w:val="ru-RU"/>
        </w:rPr>
        <w:t>1</w:t>
      </w:r>
      <w:r>
        <w:rPr>
          <w:rFonts w:ascii="DLRIFU+ËÎÌå" w:hAnsi="DLRIFU+ËÎÌå" w:cs="DLRIFU+ËÎÌå"/>
          <w:color w:val="000000" w:themeColor="text1"/>
          <w:spacing w:val="-6"/>
          <w:highlight w:val="none"/>
          <w:lang w:val="ru-RU"/>
        </w:rPr>
        <w:t>）服务内容：</w:t>
      </w:r>
      <w:r>
        <w:rPr>
          <w:rFonts w:hint="eastAsia" w:ascii="DLRIFU+ËÎÌå" w:hAnsi="DLRIFU+ËÎÌå" w:cs="DLRIFU+ËÎÌå"/>
          <w:color w:val="000000" w:themeColor="text1"/>
          <w:spacing w:val="-6"/>
          <w:highlight w:val="none"/>
          <w:lang w:val="ru-RU"/>
        </w:rPr>
        <w:t>实现我行移动展业平台软件开发相关业务及技术需求，详见随本招标文件发出的附件《</w:t>
      </w:r>
      <w:r>
        <w:rPr>
          <w:rFonts w:hint="eastAsia" w:ascii="黑体" w:hAnsi="黑体" w:eastAsia="黑体"/>
          <w:color w:val="000000" w:themeColor="text1"/>
          <w:highlight w:val="none"/>
        </w:rPr>
        <w:t>重庆银行移动展业平台业务及技术需求》</w:t>
      </w:r>
      <w:r>
        <w:rPr>
          <w:rFonts w:hint="eastAsia" w:ascii="DLRIFU+ËÎÌå" w:hAnsi="DLRIFU+ËÎÌå" w:cs="DLRIFU+ËÎÌå"/>
          <w:color w:val="000000" w:themeColor="text1"/>
          <w:spacing w:val="-6"/>
          <w:highlight w:val="none"/>
          <w:lang w:val="ru-RU"/>
        </w:rPr>
        <w:t>。</w:t>
      </w:r>
    </w:p>
    <w:p>
      <w:pPr>
        <w:widowControl/>
        <w:spacing w:before="144" w:line="440" w:lineRule="exact"/>
        <w:ind w:left="422"/>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spacing w:val="-6"/>
          <w:highlight w:val="none"/>
          <w:lang w:val="ru-RU"/>
        </w:rPr>
        <w:t>（2）服务地点：</w:t>
      </w:r>
      <w:r>
        <w:rPr>
          <w:rFonts w:hint="eastAsia" w:ascii="DLRIFU+ËÎÌå" w:hAnsi="DLRIFU+ËÎÌå" w:cs="DLRIFU+ËÎÌå"/>
          <w:color w:val="000000" w:themeColor="text1"/>
          <w:spacing w:val="-6"/>
          <w:highlight w:val="none"/>
          <w:lang w:val="ru-RU"/>
        </w:rPr>
        <w:t>重庆银行总行。</w:t>
      </w:r>
    </w:p>
    <w:p>
      <w:pPr>
        <w:widowControl/>
        <w:spacing w:line="580" w:lineRule="exact"/>
        <w:ind w:left="210" w:leftChars="100" w:firstLine="205" w:firstLineChars="98"/>
        <w:jc w:val="left"/>
        <w:rPr>
          <w:rFonts w:ascii="DLRIFU+ËÎÌå" w:hAnsi="DLRIFU+ËÎÌå" w:cs="DLRIFU+ËÎÌå"/>
          <w:color w:val="000000" w:themeColor="text1"/>
          <w:spacing w:val="-6"/>
          <w:highlight w:val="none"/>
          <w:lang w:val="ru-RU"/>
        </w:rPr>
      </w:pPr>
      <w:r>
        <w:rPr>
          <w:rFonts w:ascii="DLRIFU+ËÎÌå" w:hAnsi="DLRIFU+ËÎÌå" w:cs="DLRIFU+ËÎÌå"/>
          <w:color w:val="000000" w:themeColor="text1"/>
          <w:highlight w:val="none"/>
          <w:lang w:val="ru-RU"/>
        </w:rPr>
        <w:t>（</w:t>
      </w:r>
      <w:r>
        <w:rPr>
          <w:rFonts w:ascii="Calibri"/>
          <w:color w:val="000000" w:themeColor="text1"/>
          <w:spacing w:val="1"/>
          <w:highlight w:val="none"/>
          <w:lang w:val="ru-RU"/>
        </w:rPr>
        <w:t>3</w:t>
      </w:r>
      <w:r>
        <w:rPr>
          <w:rFonts w:ascii="DLRIFU+ËÎÌå" w:hAnsi="DLRIFU+ËÎÌå" w:cs="DLRIFU+ËÎÌå"/>
          <w:color w:val="000000" w:themeColor="text1"/>
          <w:spacing w:val="-6"/>
          <w:highlight w:val="none"/>
          <w:lang w:val="ru-RU"/>
        </w:rPr>
        <w:t>）服务质量及验收要求：</w:t>
      </w:r>
      <w:r>
        <w:rPr>
          <w:rFonts w:hint="eastAsia" w:ascii="DLRIFU+ËÎÌå" w:hAnsi="DLRIFU+ËÎÌå" w:cs="DLRIFU+ËÎÌå"/>
          <w:color w:val="000000" w:themeColor="text1"/>
          <w:spacing w:val="-6"/>
          <w:highlight w:val="none"/>
          <w:lang w:val="ru-RU"/>
        </w:rPr>
        <w:t>按照我行项目管理要求完成《重庆银行移动展业平台业务及技术需求》各项内容的建设，对整个项目的完成进度和质量负责需要根据行内项目管理办法交付完整的项目文档及全部源代码，包括但不限于需求分析、项目计划、项目周报、需求规格说明书、概要设计、详细设计、数据库设计、系统测试、压力测试、性能测试、UAT测试、回归测试、代码注释说明、操作说明、维护手册、投产方案、培训文档、应急预案、项目总结等；需要对行内业务人员、开发人员和运维人员分别进行培训，以确保我行能够使用、维护和二次开发；第一批功能上线后平稳运行6个月且完成所有功能的上线，经过互联网金融部、科技部评审通过方可进行最终终验。</w:t>
      </w:r>
    </w:p>
    <w:p>
      <w:pPr>
        <w:widowControl/>
        <w:spacing w:before="227" w:line="440" w:lineRule="exact"/>
        <w:ind w:firstLine="420" w:firstLineChars="200"/>
        <w:jc w:val="left"/>
        <w:rPr>
          <w:rFonts w:ascii="DLRIFU+ËÎÌå" w:hAnsi="DLRIFU+ËÎÌå" w:cs="DLRIFU+ËÎÌå"/>
          <w:color w:val="000000" w:themeColor="text1"/>
          <w:spacing w:val="-1"/>
          <w:highlight w:val="none"/>
          <w:lang w:val="ru-RU"/>
        </w:rPr>
      </w:pPr>
      <w:r>
        <w:rPr>
          <w:rFonts w:ascii="DLRIFU+ËÎÌå" w:hAnsi="DLRIFU+ËÎÌå" w:cs="DLRIFU+ËÎÌå"/>
          <w:color w:val="000000" w:themeColor="text1"/>
          <w:highlight w:val="none"/>
          <w:lang w:val="ru-RU"/>
        </w:rPr>
        <w:t>（</w:t>
      </w:r>
      <w:r>
        <w:rPr>
          <w:rFonts w:ascii="Calibri"/>
          <w:color w:val="000000" w:themeColor="text1"/>
          <w:spacing w:val="-1"/>
          <w:highlight w:val="none"/>
          <w:lang w:val="ru-RU"/>
        </w:rPr>
        <w:t>4</w:t>
      </w:r>
      <w:r>
        <w:rPr>
          <w:rFonts w:ascii="DLRIFU+ËÎÌå" w:hAnsi="DLRIFU+ËÎÌå" w:cs="DLRIFU+ËÎÌå"/>
          <w:color w:val="000000" w:themeColor="text1"/>
          <w:spacing w:val="-1"/>
          <w:highlight w:val="none"/>
          <w:lang w:val="ru-RU"/>
        </w:rPr>
        <w:t>）服务期限：</w:t>
      </w:r>
      <w:r>
        <w:rPr>
          <w:rFonts w:hint="eastAsia" w:ascii="DLRIFU+ËÎÌå" w:hAnsi="DLRIFU+ËÎÌå" w:cs="DLRIFU+ËÎÌå"/>
          <w:color w:val="000000" w:themeColor="text1"/>
          <w:spacing w:val="-1"/>
          <w:highlight w:val="none"/>
          <w:lang w:val="ru-RU"/>
        </w:rPr>
        <w:t>从合同签订开始，至项目合同服务期届满，办理完成项目尾款结算。</w:t>
      </w:r>
    </w:p>
    <w:p>
      <w:pPr>
        <w:widowControl/>
        <w:spacing w:before="227" w:line="440" w:lineRule="exact"/>
        <w:ind w:firstLine="396" w:firstLineChars="200"/>
        <w:jc w:val="left"/>
        <w:rPr>
          <w:rFonts w:ascii="DLRIFU+ËÎÌå" w:hAnsi="DLRIFU+ËÎÌå" w:cs="DLRIFU+ËÎÌå"/>
          <w:color w:val="000000" w:themeColor="text1"/>
          <w:spacing w:val="-6"/>
          <w:highlight w:val="none"/>
          <w:lang w:val="ru-RU"/>
        </w:rPr>
      </w:pPr>
      <w:r>
        <w:rPr>
          <w:rFonts w:hint="eastAsia" w:ascii="DLRIFU+ËÎÌå" w:hAnsi="DLRIFU+ËÎÌå" w:cs="DLRIFU+ËÎÌå"/>
          <w:color w:val="000000" w:themeColor="text1"/>
          <w:spacing w:val="-6"/>
          <w:highlight w:val="none"/>
          <w:lang w:val="ru-RU"/>
        </w:rPr>
        <w:t>（5）服务成果要求</w:t>
      </w:r>
      <w:r>
        <w:rPr>
          <w:rFonts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lang w:val="ru-RU"/>
        </w:rPr>
        <w:t>全面满足《</w:t>
      </w:r>
      <w:r>
        <w:rPr>
          <w:rFonts w:hint="eastAsia" w:ascii="黑体" w:hAnsi="黑体" w:eastAsia="黑体"/>
          <w:color w:val="000000" w:themeColor="text1"/>
          <w:highlight w:val="none"/>
        </w:rPr>
        <w:t>重庆银行</w:t>
      </w:r>
      <w:r>
        <w:rPr>
          <w:rFonts w:hint="eastAsia" w:ascii="DLRIFU+ËÎÌå" w:hAnsi="DLRIFU+ËÎÌå" w:cs="DLRIFU+ËÎÌå"/>
          <w:color w:val="000000" w:themeColor="text1"/>
          <w:spacing w:val="-6"/>
          <w:highlight w:val="none"/>
          <w:lang w:val="ru-RU"/>
        </w:rPr>
        <w:t>移动展业平台业务及技术需求》的要求，并根据甲方的网络及系统现状和要求，完成系统在IPV4和IPV6的改造，并在上线后配合测试，管理后台功能需在WINXP、WIN7、WIN10系统中正常运行，支持IE8以上（含IE8）及甲方要求的其他浏览器版本。</w:t>
      </w:r>
    </w:p>
    <w:p>
      <w:pPr>
        <w:widowControl/>
        <w:spacing w:before="227" w:line="440" w:lineRule="exact"/>
        <w:ind w:firstLine="396" w:firstLineChars="200"/>
        <w:jc w:val="left"/>
        <w:rPr>
          <w:rFonts w:cs="Times New Roman" w:asciiTheme="minorEastAsia" w:hAnsiTheme="minorEastAsia"/>
          <w:color w:val="000000" w:themeColor="text1"/>
          <w:kern w:val="0"/>
          <w:szCs w:val="21"/>
          <w:highlight w:val="none"/>
          <w:lang w:val="ru-RU"/>
        </w:rPr>
      </w:pPr>
      <w:r>
        <w:rPr>
          <w:rFonts w:hint="eastAsia" w:ascii="DLRIFU+ËÎÌå" w:hAnsi="DLRIFU+ËÎÌå" w:cs="DLRIFU+ËÎÌå"/>
          <w:color w:val="000000" w:themeColor="text1"/>
          <w:spacing w:val="-6"/>
          <w:highlight w:val="none"/>
          <w:lang w:val="ru-RU"/>
        </w:rPr>
        <w:t>（</w:t>
      </w:r>
      <w:r>
        <w:rPr>
          <w:rFonts w:hint="eastAsia" w:ascii="DLRIFU+ËÎÌå" w:hAnsi="DLRIFU+ËÎÌå" w:cs="DLRIFU+ËÎÌå"/>
          <w:color w:val="000000" w:themeColor="text1"/>
          <w:spacing w:val="-6"/>
          <w:highlight w:val="none"/>
        </w:rPr>
        <w:t>6</w:t>
      </w:r>
      <w:r>
        <w:rPr>
          <w:rFonts w:hint="eastAsia" w:ascii="DLRIFU+ËÎÌå" w:hAnsi="DLRIFU+ËÎÌå" w:cs="DLRIFU+ËÎÌå"/>
          <w:color w:val="000000" w:themeColor="text1"/>
          <w:spacing w:val="-6"/>
          <w:highlight w:val="none"/>
          <w:lang w:val="ru-RU"/>
        </w:rPr>
        <w:t>）</w:t>
      </w:r>
      <w:r>
        <w:rPr>
          <w:rFonts w:hint="eastAsia" w:cs="Times New Roman" w:asciiTheme="minorEastAsia" w:hAnsiTheme="minorEastAsia"/>
          <w:color w:val="000000" w:themeColor="text1"/>
          <w:kern w:val="0"/>
          <w:szCs w:val="21"/>
          <w:highlight w:val="none"/>
          <w:lang w:val="ru-RU"/>
        </w:rPr>
        <w:t>售后服务要求：项目第一批功能成功上线后，平稳运行6个月，实施厂商需全程提供驻场技术支持。所有功能上线后且完成项目最终验收后，实施厂商需提供至少1年的免费维护服务期，并安排技术人员驻场技术支持。维护服务期满后，实施厂商有义务在系统的维护，运行管理和开发方面继续给予技术协助和咨询。</w:t>
      </w:r>
    </w:p>
    <w:p>
      <w:pPr>
        <w:widowControl/>
        <w:spacing w:before="227" w:line="440" w:lineRule="exact"/>
        <w:ind w:firstLine="420" w:firstLineChars="200"/>
        <w:jc w:val="left"/>
        <w:rPr>
          <w:rFonts w:ascii="DLRIFU+ËÎÌå"/>
          <w:color w:val="000000" w:themeColor="text1"/>
          <w:highlight w:val="none"/>
          <w:lang w:val="ru-RU"/>
        </w:rPr>
      </w:pPr>
      <w:r>
        <w:rPr>
          <w:rFonts w:ascii="DLRIFU+ËÎÌå" w:hAnsi="DLRIFU+ËÎÌå" w:cs="DLRIFU+ËÎÌå"/>
          <w:color w:val="000000" w:themeColor="text1"/>
          <w:highlight w:val="none"/>
          <w:lang w:val="ru-RU"/>
        </w:rPr>
        <w:t>（</w:t>
      </w:r>
      <w:r>
        <w:rPr>
          <w:rFonts w:hint="eastAsia" w:ascii="DLRIFU+ËÎÌå" w:hAnsi="DLRIFU+ËÎÌå" w:cs="DLRIFU+ËÎÌå"/>
          <w:color w:val="000000" w:themeColor="text1"/>
          <w:highlight w:val="none"/>
        </w:rPr>
        <w:t>7</w:t>
      </w:r>
      <w:r>
        <w:rPr>
          <w:rFonts w:ascii="DLRIFU+ËÎÌå" w:hAnsi="DLRIFU+ËÎÌå" w:cs="DLRIFU+ËÎÌå"/>
          <w:color w:val="000000" w:themeColor="text1"/>
          <w:spacing w:val="-1"/>
          <w:highlight w:val="none"/>
          <w:lang w:val="ru-RU"/>
        </w:rPr>
        <w:t>）本次招标公告在中国招标投标公共服务平台</w:t>
      </w:r>
      <w:r>
        <w:rPr>
          <w:rFonts w:hint="eastAsia" w:cs="KLRFJD+ËÎÌå" w:asciiTheme="minorEastAsia" w:hAnsiTheme="minorEastAsia"/>
          <w:color w:val="000000" w:themeColor="text1"/>
          <w:spacing w:val="-1"/>
          <w:highlight w:val="none"/>
          <w:lang w:val="ru-RU"/>
        </w:rPr>
        <w:t>和重庆国际投资咨询集团网</w:t>
      </w:r>
      <w:r>
        <w:rPr>
          <w:rFonts w:cs="KLRFJD+ËÎÌå" w:asciiTheme="minorEastAsia" w:hAnsiTheme="minorEastAsia"/>
          <w:color w:val="000000" w:themeColor="text1"/>
          <w:spacing w:val="-1"/>
          <w:highlight w:val="none"/>
          <w:lang w:val="ru-RU"/>
        </w:rPr>
        <w:t>上</w:t>
      </w:r>
      <w:r>
        <w:rPr>
          <w:rFonts w:ascii="DLRIFU+ËÎÌå" w:hAnsi="DLRIFU+ËÎÌå" w:cs="DLRIFU+ËÎÌå"/>
          <w:color w:val="000000" w:themeColor="text1"/>
          <w:spacing w:val="-1"/>
          <w:highlight w:val="none"/>
          <w:lang w:val="ru-RU"/>
        </w:rPr>
        <w:t>发布。</w:t>
      </w:r>
    </w:p>
    <w:p>
      <w:pPr>
        <w:widowControl/>
        <w:spacing w:line="360" w:lineRule="auto"/>
        <w:ind w:firstLine="416" w:firstLineChars="200"/>
        <w:jc w:val="left"/>
        <w:rPr>
          <w:rFonts w:ascii="Times New Roman" w:hAnsi="Times New Roman" w:cs="Times New Roman"/>
          <w:color w:val="000000" w:themeColor="text1"/>
          <w:spacing w:val="-1"/>
          <w:highlight w:val="none"/>
          <w:lang w:val="ru-RU"/>
        </w:rPr>
      </w:pPr>
    </w:p>
    <w:p>
      <w:pPr>
        <w:widowControl/>
        <w:spacing w:line="360" w:lineRule="auto"/>
        <w:ind w:firstLine="416"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分包二：移动展业平台配套硬件</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（1）货物规格型号及数量：移动背夹，200台。</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（2）供货时间：根据业务开展情况分批订货。产品生产、包装、配送需在我行订单发送后20个工作日完成。</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（3）交货/安装地点：按需配送重庆银行各分支机构。</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4）售后服务要求：质保期:三年。至少提供三年免费上门维保服务；免费加印重庆银行Logo及其他信息；涉及的软件等产品应提供五年内的免费升级换代服务；后期系统接口免费开发；终身维护保养，对过保的设备仅收取配件更换成本价。</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（5）质量及验收要求：以合同约定为准。</w:t>
      </w:r>
    </w:p>
    <w:p>
      <w:pPr>
        <w:widowControl/>
        <w:spacing w:line="360" w:lineRule="auto"/>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（6）本次招标公告在中国招标投标公共服务平台和重庆国际投资咨询集团网上发布。</w:t>
      </w:r>
    </w:p>
    <w:p>
      <w:pPr>
        <w:widowControl/>
        <w:spacing w:line="360" w:lineRule="auto"/>
        <w:jc w:val="left"/>
        <w:rPr>
          <w:rFonts w:ascii="Times New Roman" w:hAnsi="Times New Roman" w:cs="Times New Roman"/>
          <w:b/>
          <w:color w:val="000000" w:themeColor="text1"/>
          <w:spacing w:val="1"/>
          <w:sz w:val="24"/>
          <w:highlight w:val="none"/>
          <w:lang w:val="ru-RU"/>
        </w:rPr>
      </w:pPr>
      <w:r>
        <w:rPr>
          <w:rFonts w:hint="eastAsia" w:ascii="Times New Roman" w:hAnsi="Times New Roman" w:cs="Times New Roman"/>
          <w:b/>
          <w:color w:val="000000" w:themeColor="text1"/>
          <w:spacing w:val="1"/>
          <w:sz w:val="24"/>
          <w:highlight w:val="none"/>
          <w:lang w:val="ru-RU"/>
        </w:rPr>
        <w:t>八、监督部门</w:t>
      </w:r>
    </w:p>
    <w:p>
      <w:pPr>
        <w:widowControl/>
        <w:spacing w:line="360" w:lineRule="auto"/>
        <w:ind w:left="317"/>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本招标项目的监督部门为重庆银行股份有限公司内控合规部</w:t>
      </w:r>
      <w:r>
        <w:rPr>
          <w:rFonts w:hint="eastAsia" w:ascii="Times New Roman" w:hAnsi="Times New Roman" w:cs="Times New Roman"/>
          <w:color w:val="000000" w:themeColor="text1"/>
          <w:highlight w:val="none"/>
          <w:lang w:val="ru-RU"/>
        </w:rPr>
        <w:t>。</w:t>
      </w:r>
    </w:p>
    <w:p>
      <w:pPr>
        <w:widowControl/>
        <w:spacing w:line="360" w:lineRule="auto"/>
        <w:jc w:val="left"/>
        <w:rPr>
          <w:rFonts w:ascii="Times New Roman" w:hAnsi="Times New Roman" w:cs="Times New Roman"/>
          <w:b/>
          <w:color w:val="000000" w:themeColor="text1"/>
          <w:spacing w:val="1"/>
          <w:sz w:val="24"/>
          <w:highlight w:val="none"/>
          <w:lang w:val="ru-RU"/>
        </w:rPr>
      </w:pPr>
      <w:r>
        <w:rPr>
          <w:rFonts w:hint="eastAsia" w:ascii="Times New Roman" w:hAnsi="Times New Roman" w:cs="Times New Roman"/>
          <w:b/>
          <w:color w:val="000000" w:themeColor="text1"/>
          <w:spacing w:val="1"/>
          <w:sz w:val="24"/>
          <w:highlight w:val="none"/>
          <w:lang w:val="ru-RU"/>
        </w:rPr>
        <w:t>九、联系方式</w:t>
      </w:r>
    </w:p>
    <w:p>
      <w:pPr>
        <w:widowControl/>
        <w:spacing w:line="420" w:lineRule="exact"/>
        <w:ind w:firstLine="420"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highlight w:val="none"/>
          <w:lang w:val="ru-RU"/>
        </w:rPr>
        <w:t>招标</w:t>
      </w:r>
      <w:r>
        <w:rPr>
          <w:rFonts w:hint="eastAsia" w:ascii="Times New Roman" w:hAnsi="Times New Roman" w:cs="Times New Roman"/>
          <w:color w:val="000000" w:themeColor="text1"/>
          <w:spacing w:val="-1"/>
          <w:highlight w:val="none"/>
          <w:lang w:val="ru-RU"/>
        </w:rPr>
        <w:t>人：重庆银行股份有限公司</w:t>
      </w:r>
    </w:p>
    <w:p>
      <w:pPr>
        <w:widowControl/>
        <w:spacing w:line="420" w:lineRule="exact"/>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地</w:t>
      </w:r>
      <w:r>
        <w:rPr>
          <w:rFonts w:hint="eastAsia" w:ascii="Times New Roman" w:hAnsi="Times New Roman" w:cs="Times New Roman"/>
          <w:color w:val="000000" w:themeColor="text1"/>
          <w:spacing w:val="-1"/>
          <w:highlight w:val="none"/>
          <w:lang w:val="ru-RU"/>
        </w:rPr>
        <w:t>址：重庆市江北区江北城街道永平门街</w:t>
      </w:r>
      <w:r>
        <w:rPr>
          <w:rFonts w:ascii="Times New Roman" w:hAnsi="Times New Roman" w:cs="Times New Roman"/>
          <w:color w:val="000000" w:themeColor="text1"/>
          <w:spacing w:val="50"/>
          <w:highlight w:val="none"/>
          <w:lang w:val="ru-RU"/>
        </w:rPr>
        <w:t>6</w:t>
      </w:r>
      <w:r>
        <w:rPr>
          <w:rFonts w:hint="eastAsia" w:ascii="Times New Roman" w:hAnsi="Times New Roman" w:cs="Times New Roman"/>
          <w:color w:val="000000" w:themeColor="text1"/>
          <w:highlight w:val="none"/>
          <w:lang w:val="ru-RU"/>
        </w:rPr>
        <w:t>号</w:t>
      </w:r>
    </w:p>
    <w:p>
      <w:pPr>
        <w:widowControl/>
        <w:spacing w:line="420" w:lineRule="exact"/>
        <w:ind w:firstLine="440" w:firstLineChars="200"/>
        <w:rPr>
          <w:rFonts w:ascii="Times New Roman" w:hAnsi="Times New Roman" w:cs="Times New Roman"/>
          <w:color w:val="000000" w:themeColor="text1"/>
          <w:highlight w:val="none"/>
          <w:lang w:val="ru-RU"/>
        </w:rPr>
      </w:pPr>
      <w:r>
        <w:rPr>
          <w:rFonts w:ascii="Times New Roman" w:hAnsi="Times New Roman" w:cs="Times New Roman"/>
          <w:color w:val="000000" w:themeColor="text1"/>
          <w:sz w:val="22"/>
          <w:highlight w:val="none"/>
        </w:rPr>
        <w:drawing>
          <wp:anchor distT="0" distB="0" distL="114300" distR="114300" simplePos="0" relativeHeight="25166438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5" name="图片 15"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ooxWord://word/media/image3.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4695" cy="8890"/>
                    </a:xfrm>
                    <a:prstGeom prst="rect">
                      <a:avLst/>
                    </a:prstGeom>
                    <a:noFill/>
                  </pic:spPr>
                </pic:pic>
              </a:graphicData>
            </a:graphic>
          </wp:anchor>
        </w:drawing>
      </w:r>
      <w:r>
        <w:rPr>
          <w:rFonts w:ascii="Times New Roman" w:hAnsi="Times New Roman" w:cs="Times New Roman"/>
          <w:color w:val="000000" w:themeColor="text1"/>
          <w:sz w:val="22"/>
          <w:highlight w:val="none"/>
        </w:rPr>
        <w:drawing>
          <wp:anchor distT="0" distB="0" distL="114300" distR="114300" simplePos="0" relativeHeight="25166336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0" name="图片 20"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ooxWord://word/media/image4.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34110" cy="8890"/>
                    </a:xfrm>
                    <a:prstGeom prst="rect">
                      <a:avLst/>
                    </a:prstGeom>
                    <a:noFill/>
                  </pic:spPr>
                </pic:pic>
              </a:graphicData>
            </a:graphic>
          </wp:anchor>
        </w:drawing>
      </w:r>
      <w:r>
        <w:rPr>
          <w:rFonts w:hint="eastAsia" w:ascii="Times New Roman" w:hAnsi="Times New Roman" w:cs="Times New Roman"/>
          <w:color w:val="000000" w:themeColor="text1"/>
          <w:highlight w:val="none"/>
          <w:lang w:val="ru-RU"/>
        </w:rPr>
        <w:t>联系</w:t>
      </w:r>
      <w:r>
        <w:rPr>
          <w:rFonts w:hint="eastAsia" w:ascii="Times New Roman" w:hAnsi="Times New Roman" w:cs="Times New Roman"/>
          <w:color w:val="000000" w:themeColor="text1"/>
          <w:spacing w:val="-1"/>
          <w:highlight w:val="none"/>
          <w:lang w:val="ru-RU"/>
        </w:rPr>
        <w:t>人：周老师</w:t>
      </w:r>
    </w:p>
    <w:p>
      <w:pPr>
        <w:widowControl/>
        <w:spacing w:line="420" w:lineRule="exact"/>
        <w:ind w:firstLine="420"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highlight w:val="none"/>
          <w:lang w:val="ru-RU"/>
        </w:rPr>
        <w:t>电话：</w:t>
      </w:r>
      <w:r>
        <w:rPr>
          <w:rFonts w:ascii="Times New Roman" w:hAnsi="Times New Roman" w:cs="Times New Roman"/>
          <w:color w:val="000000" w:themeColor="text1"/>
          <w:spacing w:val="-1"/>
          <w:highlight w:val="none"/>
          <w:lang w:val="ru-RU"/>
        </w:rPr>
        <w:t>023-63367</w:t>
      </w:r>
      <w:r>
        <w:rPr>
          <w:rFonts w:hint="eastAsia" w:ascii="Times New Roman" w:hAnsi="Times New Roman" w:cs="Times New Roman"/>
          <w:color w:val="000000" w:themeColor="text1"/>
          <w:spacing w:val="-1"/>
          <w:highlight w:val="none"/>
        </w:rPr>
        <w:t>107</w:t>
      </w:r>
    </w:p>
    <w:p>
      <w:pPr>
        <w:widowControl/>
        <w:spacing w:line="420" w:lineRule="exact"/>
        <w:ind w:firstLine="416"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电子邮件：</w:t>
      </w:r>
      <w:r>
        <w:rPr>
          <w:rFonts w:ascii="Times New Roman" w:hAnsi="Times New Roman" w:cs="Times New Roman"/>
          <w:color w:val="000000" w:themeColor="text1"/>
          <w:highlight w:val="none"/>
          <w:lang w:val="ru-RU"/>
        </w:rPr>
        <w:t>/</w:t>
      </w:r>
    </w:p>
    <w:p>
      <w:pPr>
        <w:widowControl/>
        <w:spacing w:line="420" w:lineRule="exact"/>
        <w:ind w:firstLine="416"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spacing w:val="-1"/>
          <w:highlight w:val="none"/>
          <w:lang w:val="ru-RU"/>
        </w:rPr>
        <w:t>招标代理机构：重庆招标采购（集团）有限责任公司</w:t>
      </w:r>
    </w:p>
    <w:p>
      <w:pPr>
        <w:widowControl/>
        <w:spacing w:line="420" w:lineRule="exact"/>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地址：</w:t>
      </w:r>
      <w:r>
        <w:rPr>
          <w:rFonts w:hint="eastAsia" w:ascii="Times New Roman" w:hAnsi="Times New Roman" w:cs="Times New Roman"/>
          <w:color w:val="000000" w:themeColor="text1"/>
          <w:spacing w:val="-1"/>
          <w:highlight w:val="none"/>
          <w:lang w:val="ru-RU"/>
        </w:rPr>
        <w:t>重庆市江北区五简路</w:t>
      </w:r>
      <w:r>
        <w:rPr>
          <w:rFonts w:ascii="Times New Roman" w:hAnsi="Times New Roman" w:cs="Times New Roman"/>
          <w:color w:val="000000" w:themeColor="text1"/>
          <w:spacing w:val="53"/>
          <w:highlight w:val="none"/>
          <w:lang w:val="ru-RU"/>
        </w:rPr>
        <w:t>2</w:t>
      </w:r>
      <w:r>
        <w:rPr>
          <w:rFonts w:hint="eastAsia" w:ascii="Times New Roman" w:hAnsi="Times New Roman" w:cs="Times New Roman"/>
          <w:color w:val="000000" w:themeColor="text1"/>
          <w:spacing w:val="-1"/>
          <w:highlight w:val="none"/>
          <w:lang w:val="ru-RU"/>
        </w:rPr>
        <w:t>号重庆咨询大厦</w:t>
      </w:r>
      <w:r>
        <w:rPr>
          <w:rFonts w:ascii="Times New Roman" w:hAnsi="Times New Roman" w:cs="Times New Roman"/>
          <w:color w:val="000000" w:themeColor="text1"/>
          <w:spacing w:val="50"/>
          <w:highlight w:val="none"/>
          <w:lang w:val="ru-RU"/>
        </w:rPr>
        <w:t>A</w:t>
      </w:r>
      <w:r>
        <w:rPr>
          <w:rFonts w:hint="eastAsia" w:ascii="Times New Roman" w:hAnsi="Times New Roman" w:cs="Times New Roman"/>
          <w:color w:val="000000" w:themeColor="text1"/>
          <w:highlight w:val="none"/>
          <w:lang w:val="ru-RU"/>
        </w:rPr>
        <w:t>栋</w:t>
      </w:r>
      <w:r>
        <w:rPr>
          <w:rFonts w:ascii="Times New Roman" w:hAnsi="Times New Roman" w:cs="Times New Roman"/>
          <w:color w:val="000000" w:themeColor="text1"/>
          <w:spacing w:val="12"/>
          <w:highlight w:val="none"/>
          <w:lang w:val="ru-RU"/>
        </w:rPr>
        <w:t>1804</w:t>
      </w:r>
      <w:r>
        <w:rPr>
          <w:rFonts w:hint="eastAsia" w:ascii="Times New Roman" w:hAnsi="Times New Roman" w:cs="Times New Roman"/>
          <w:color w:val="000000" w:themeColor="text1"/>
          <w:highlight w:val="none"/>
          <w:lang w:val="ru-RU"/>
        </w:rPr>
        <w:t>室</w:t>
      </w:r>
    </w:p>
    <w:p>
      <w:pPr>
        <w:widowControl/>
        <w:spacing w:line="420" w:lineRule="exact"/>
        <w:ind w:firstLine="420" w:firstLineChars="200"/>
        <w:jc w:val="left"/>
        <w:rPr>
          <w:rFonts w:ascii="Times New Roman" w:hAnsi="Times New Roman" w:cs="Times New Roman"/>
          <w:color w:val="000000" w:themeColor="text1"/>
          <w:highlight w:val="none"/>
          <w:lang w:val="ru-RU"/>
        </w:rPr>
      </w:pPr>
      <w:r>
        <w:rPr>
          <w:rFonts w:hint="eastAsia" w:ascii="Times New Roman" w:hAnsi="Times New Roman" w:cs="Times New Roman"/>
          <w:color w:val="000000" w:themeColor="text1"/>
          <w:highlight w:val="none"/>
          <w:lang w:val="ru-RU"/>
        </w:rPr>
        <w:t>联系人：</w:t>
      </w:r>
      <w:r>
        <w:rPr>
          <w:rFonts w:hint="eastAsia" w:ascii="Times New Roman" w:hAnsi="Times New Roman" w:cs="Times New Roman"/>
          <w:color w:val="000000" w:themeColor="text1"/>
          <w:spacing w:val="-1"/>
          <w:highlight w:val="none"/>
          <w:lang w:val="ru-RU"/>
        </w:rPr>
        <w:t>卢號东</w:t>
      </w:r>
    </w:p>
    <w:p>
      <w:pPr>
        <w:widowControl/>
        <w:spacing w:line="420" w:lineRule="exact"/>
        <w:ind w:firstLine="420" w:firstLineChars="200"/>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highlight w:val="none"/>
          <w:lang w:val="ru-RU"/>
        </w:rPr>
        <w:t>电话：</w:t>
      </w:r>
      <w:r>
        <w:rPr>
          <w:rFonts w:ascii="Times New Roman" w:hAnsi="Times New Roman" w:cs="Times New Roman"/>
          <w:color w:val="000000" w:themeColor="text1"/>
          <w:spacing w:val="-1"/>
          <w:highlight w:val="none"/>
          <w:lang w:val="ru-RU"/>
        </w:rPr>
        <w:t>023-67706443</w:t>
      </w:r>
    </w:p>
    <w:p>
      <w:pPr>
        <w:widowControl/>
        <w:spacing w:line="420" w:lineRule="exact"/>
        <w:ind w:firstLine="416" w:firstLineChars="200"/>
        <w:jc w:val="left"/>
        <w:rPr>
          <w:rFonts w:ascii="Times New Roman" w:hAnsi="Times New Roman" w:eastAsia="宋体" w:cs="Times New Roman"/>
          <w:color w:val="000000" w:themeColor="text1"/>
          <w:kern w:val="0"/>
          <w:sz w:val="24"/>
          <w:szCs w:val="24"/>
          <w:highlight w:val="none"/>
        </w:rPr>
        <w:sectPr>
          <w:headerReference r:id="rId8" w:type="default"/>
          <w:footerReference r:id="rId9" w:type="default"/>
          <w:pgSz w:w="11906" w:h="16838"/>
          <w:pgMar w:top="1440" w:right="1466" w:bottom="1276" w:left="1800" w:header="851" w:footer="992" w:gutter="0"/>
          <w:pgNumType w:start="1"/>
          <w:cols w:space="720" w:num="1"/>
          <w:docGrid w:type="linesAndChars" w:linePitch="312" w:charSpace="0"/>
        </w:sectPr>
      </w:pPr>
      <w:r>
        <w:rPr>
          <w:rFonts w:hint="eastAsia" w:ascii="Times New Roman" w:hAnsi="Times New Roman" w:cs="Times New Roman"/>
          <w:color w:val="000000" w:themeColor="text1"/>
          <w:spacing w:val="-1"/>
          <w:highlight w:val="none"/>
          <w:lang w:val="ru-RU"/>
        </w:rPr>
        <w:t>电子邮件：</w:t>
      </w:r>
      <w:r>
        <w:rPr>
          <w:rFonts w:ascii="Times New Roman" w:hAnsi="Times New Roman" w:cs="Times New Roman"/>
          <w:color w:val="000000" w:themeColor="text1"/>
          <w:highlight w:val="none"/>
          <w:lang w:val="ru-RU"/>
        </w:rPr>
        <w:t>/</w:t>
      </w:r>
      <w:r>
        <w:rPr>
          <w:rFonts w:ascii="Times New Roman" w:hAnsi="Times New Roman" w:cs="Times New Roman"/>
          <w:color w:val="000000" w:themeColor="text1"/>
          <w:kern w:val="0"/>
          <w:sz w:val="24"/>
          <w:szCs w:val="24"/>
          <w:highlight w:val="none"/>
        </w:rPr>
        <w:tab/>
      </w:r>
      <w:bookmarkEnd w:id="2"/>
      <w:r>
        <w:rPr>
          <w:rFonts w:ascii="Times New Roman" w:hAnsi="Times New Roman" w:eastAsia="宋体" w:cs="Times New Roman"/>
          <w:color w:val="000000" w:themeColor="text1"/>
          <w:kern w:val="0"/>
          <w:sz w:val="24"/>
          <w:szCs w:val="24"/>
          <w:highlight w:val="none"/>
        </w:rPr>
        <w:tab/>
      </w:r>
      <w:bookmarkEnd w:id="1"/>
    </w:p>
    <w:p>
      <w:pPr>
        <w:adjustRightInd w:val="0"/>
        <w:spacing w:line="400" w:lineRule="exact"/>
        <w:ind w:firstLine="480" w:firstLineChars="200"/>
        <w:rPr>
          <w:rFonts w:ascii="Times New Roman" w:hAnsi="Times New Roman" w:eastAsia="宋体" w:cs="Times New Roman"/>
          <w:color w:val="000000" w:themeColor="text1"/>
          <w:kern w:val="0"/>
          <w:sz w:val="24"/>
          <w:szCs w:val="24"/>
          <w:highlight w:val="none"/>
        </w:rPr>
      </w:pPr>
    </w:p>
    <w:p>
      <w:pPr>
        <w:rPr>
          <w:rFonts w:ascii="Times New Roman" w:hAnsi="Times New Roman" w:eastAsia="宋体" w:cs="Times New Roman"/>
          <w:color w:val="000000" w:themeColor="text1"/>
          <w:highlight w:val="none"/>
        </w:rPr>
      </w:pPr>
    </w:p>
    <w:p>
      <w:pPr>
        <w:keepNext/>
        <w:keepLines/>
        <w:spacing w:line="360" w:lineRule="auto"/>
        <w:ind w:firstLine="2420" w:firstLineChars="550"/>
        <w:outlineLvl w:val="0"/>
        <w:rPr>
          <w:rFonts w:ascii="Calibri" w:hAnsi="Calibri" w:eastAsia="黑体" w:cs="Times New Roman"/>
          <w:b/>
          <w:bCs/>
          <w:color w:val="000000" w:themeColor="text1"/>
          <w:kern w:val="44"/>
          <w:sz w:val="44"/>
          <w:szCs w:val="44"/>
          <w:highlight w:val="none"/>
        </w:rPr>
      </w:pPr>
      <w:bookmarkStart w:id="3" w:name="_Toc489972850"/>
      <w:r>
        <w:rPr>
          <w:rFonts w:ascii="Calibri" w:hAnsi="Calibri" w:eastAsia="黑体" w:cs="Times New Roman"/>
          <w:b/>
          <w:bCs/>
          <w:color w:val="000000" w:themeColor="text1"/>
          <w:kern w:val="44"/>
          <w:sz w:val="44"/>
          <w:szCs w:val="44"/>
          <w:highlight w:val="none"/>
        </w:rPr>
        <w:t>第二章投标人须知</w:t>
      </w:r>
      <w:bookmarkEnd w:id="3"/>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rPr>
      </w:pPr>
      <w:bookmarkStart w:id="4" w:name="_Toc21528"/>
      <w:r>
        <w:rPr>
          <w:rFonts w:ascii="Times New Roman" w:hAnsi="Times New Roman" w:eastAsia="宋体" w:cs="Times New Roman"/>
          <w:b/>
          <w:bCs/>
          <w:color w:val="000000" w:themeColor="text1"/>
          <w:kern w:val="0"/>
          <w:sz w:val="30"/>
          <w:szCs w:val="30"/>
          <w:highlight w:val="none"/>
        </w:rPr>
        <w:t>第一节投标人须知前附表</w:t>
      </w:r>
      <w:bookmarkEnd w:id="4"/>
    </w:p>
    <w:p>
      <w:pPr>
        <w:spacing w:line="360" w:lineRule="auto"/>
        <w:jc w:val="left"/>
        <w:rPr>
          <w:rFonts w:ascii="Times New Roman" w:hAnsi="Times New Roman" w:eastAsia="宋体" w:cs="Times New Roman"/>
          <w:bCs/>
          <w:color w:val="000000" w:themeColor="text1"/>
          <w:kern w:val="0"/>
          <w:sz w:val="24"/>
          <w:szCs w:val="24"/>
          <w:highlight w:val="none"/>
        </w:rPr>
      </w:pPr>
      <w:r>
        <w:rPr>
          <w:rFonts w:ascii="Times New Roman" w:hAnsi="Times New Roman" w:eastAsia="宋体" w:cs="Times New Roman"/>
          <w:b/>
          <w:bCs/>
          <w:color w:val="000000" w:themeColor="text1"/>
          <w:kern w:val="0"/>
          <w:sz w:val="24"/>
          <w:szCs w:val="24"/>
          <w:highlight w:val="none"/>
        </w:rPr>
        <w:t>投标人须知前附表</w:t>
      </w:r>
      <w:r>
        <w:rPr>
          <w:rFonts w:ascii="Times New Roman" w:hAnsi="Times New Roman" w:eastAsia="宋体" w:cs="Times New Roman"/>
          <w:bCs/>
          <w:color w:val="000000" w:themeColor="text1"/>
          <w:kern w:val="0"/>
          <w:sz w:val="24"/>
          <w:szCs w:val="24"/>
          <w:highlight w:val="none"/>
        </w:rPr>
        <w:t>是对《投标人须知》所对应条款的具体补充和修改，如有不一致，应以本前附表为准。</w:t>
      </w:r>
    </w:p>
    <w:tbl>
      <w:tblPr>
        <w:tblStyle w:val="55"/>
        <w:tblW w:w="9869"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0"/>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条款号</w:t>
            </w:r>
          </w:p>
        </w:tc>
        <w:tc>
          <w:tcPr>
            <w:tcW w:w="8817"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招标人：重庆银行股份有限公司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联系人：</w:t>
            </w:r>
            <w:r>
              <w:rPr>
                <w:rFonts w:hint="eastAsia" w:ascii="Times New Roman" w:hAnsi="Times New Roman" w:eastAsia="宋体" w:cs="Times New Roman"/>
                <w:color w:val="000000" w:themeColor="text1"/>
                <w:szCs w:val="21"/>
                <w:highlight w:val="none"/>
              </w:rPr>
              <w:t>周</w:t>
            </w:r>
            <w:r>
              <w:rPr>
                <w:rFonts w:ascii="Times New Roman" w:hAnsi="Times New Roman" w:eastAsia="宋体" w:cs="Times New Roman"/>
                <w:color w:val="000000" w:themeColor="text1"/>
                <w:szCs w:val="21"/>
                <w:highlight w:val="none"/>
              </w:rPr>
              <w:t>老师</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联系电话：023-</w:t>
            </w:r>
            <w:r>
              <w:rPr>
                <w:rFonts w:hint="eastAsia" w:ascii="Times New Roman" w:hAnsi="Times New Roman" w:eastAsia="宋体" w:cs="Times New Roman"/>
                <w:color w:val="000000" w:themeColor="text1"/>
                <w:szCs w:val="21"/>
                <w:highlight w:val="none"/>
              </w:rPr>
              <w:t>63367107</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联系地址：</w:t>
            </w:r>
            <w:r>
              <w:rPr>
                <w:rFonts w:hint="eastAsia" w:ascii="Times New Roman" w:hAnsi="Times New Roman" w:eastAsia="宋体" w:cs="Times New Roman"/>
                <w:color w:val="000000" w:themeColor="text1"/>
                <w:szCs w:val="21"/>
                <w:highlight w:val="none"/>
              </w:rPr>
              <w:t>重庆市江北区江北城街道永平门街6号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w:t>
            </w:r>
          </w:p>
        </w:tc>
        <w:tc>
          <w:tcPr>
            <w:tcW w:w="8817" w:type="dxa"/>
            <w:gridSpan w:val="2"/>
            <w:vAlign w:val="center"/>
          </w:tcPr>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招标代理机构：重庆招标采购（集团）有限责任公司</w:t>
            </w:r>
          </w:p>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联系人：卢號东、</w:t>
            </w:r>
            <w:r>
              <w:rPr>
                <w:rFonts w:hint="eastAsia" w:ascii="Times New Roman" w:hAnsi="Times New Roman" w:eastAsia="宋体" w:cs="Times New Roman"/>
                <w:color w:val="000000" w:themeColor="text1"/>
                <w:szCs w:val="21"/>
                <w:highlight w:val="none"/>
              </w:rPr>
              <w:t>杨欣</w:t>
            </w:r>
          </w:p>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电话：023-67706443传真：（023）67706443</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地址：重庆市江北区五简路2号重庆咨询大厦A栋1804室</w:t>
            </w:r>
            <w:r>
              <w:rPr>
                <w:rFonts w:ascii="Times New Roman" w:hAnsi="Times New Roman" w:eastAsia="宋体" w:cs="Times New Roman"/>
                <w:color w:val="000000" w:themeColor="text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1.3</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项目名称：</w:t>
            </w:r>
            <w:r>
              <w:rPr>
                <w:rFonts w:hint="eastAsia" w:ascii="Times New Roman" w:hAnsi="Times New Roman" w:cs="Times New Roman"/>
                <w:color w:val="000000" w:themeColor="text1"/>
                <w:spacing w:val="-1"/>
                <w:highlight w:val="none"/>
                <w:lang w:val="ru-RU"/>
              </w:rPr>
              <w:t>重庆银行移动展业平台项目</w:t>
            </w:r>
          </w:p>
          <w:p>
            <w:pPr>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分包一：移动展业平台软件开发</w:t>
            </w:r>
            <w:r>
              <w:rPr>
                <w:rFonts w:hint="eastAsia" w:ascii="Times New Roman" w:hAnsi="Times New Roman" w:eastAsia="宋体" w:cs="Times New Roman"/>
                <w:color w:val="000000" w:themeColor="text1"/>
                <w:szCs w:val="21"/>
                <w:highlight w:val="none"/>
              </w:rPr>
              <w:t>服务地点</w:t>
            </w:r>
            <w:r>
              <w:rPr>
                <w:rFonts w:ascii="Times New Roman" w:hAnsi="Times New Roman" w:eastAsia="宋体" w:cs="Times New Roman"/>
                <w:color w:val="000000" w:themeColor="text1"/>
                <w:szCs w:val="21"/>
                <w:highlight w:val="none"/>
              </w:rPr>
              <w:t>：见本文件第一章</w:t>
            </w:r>
          </w:p>
          <w:p>
            <w:pPr>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分包二：移动展业平台配套硬件</w:t>
            </w:r>
            <w:r>
              <w:rPr>
                <w:rFonts w:hint="eastAsia" w:ascii="Times New Roman" w:hAnsi="Times New Roman" w:eastAsia="宋体" w:cs="Times New Roman"/>
                <w:color w:val="000000" w:themeColor="text1"/>
                <w:szCs w:val="21"/>
                <w:highlight w:val="none"/>
              </w:rPr>
              <w:t>交货/安装地点</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1.4</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分包一：移动展业平台软件开发</w:t>
            </w: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：见本文件第一章</w:t>
            </w:r>
          </w:p>
          <w:p>
            <w:pPr>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分包二：移动展业平台配套硬件</w:t>
            </w:r>
            <w:r>
              <w:rPr>
                <w:rFonts w:hint="eastAsia" w:ascii="Times New Roman" w:hAnsi="Times New Roman" w:eastAsia="宋体" w:cs="Times New Roman"/>
                <w:color w:val="000000" w:themeColor="text1"/>
                <w:szCs w:val="21"/>
                <w:highlight w:val="none"/>
              </w:rPr>
              <w:t>货物规格型号及数量</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1.6</w:t>
            </w:r>
          </w:p>
        </w:tc>
        <w:tc>
          <w:tcPr>
            <w:tcW w:w="8817" w:type="dxa"/>
            <w:gridSpan w:val="2"/>
            <w:vAlign w:val="center"/>
          </w:tcPr>
          <w:p>
            <w:pPr>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分包一：移动展业平台软件开发</w:t>
            </w:r>
            <w:r>
              <w:rPr>
                <w:rFonts w:hint="eastAsia" w:ascii="Times New Roman" w:hAnsi="Times New Roman" w:eastAsia="宋体" w:cs="Times New Roman"/>
                <w:color w:val="000000" w:themeColor="text1"/>
                <w:szCs w:val="21"/>
                <w:highlight w:val="none"/>
              </w:rPr>
              <w:t>服务期限</w:t>
            </w:r>
            <w:r>
              <w:rPr>
                <w:rFonts w:ascii="Times New Roman" w:hAnsi="Times New Roman" w:eastAsia="宋体" w:cs="Times New Roman"/>
                <w:color w:val="000000" w:themeColor="text1"/>
                <w:szCs w:val="21"/>
                <w:highlight w:val="none"/>
              </w:rPr>
              <w:t>：见本文件第一章</w:t>
            </w:r>
          </w:p>
          <w:p>
            <w:pPr>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分包二：移动展业平台配套硬件</w:t>
            </w:r>
            <w:r>
              <w:rPr>
                <w:rFonts w:hint="eastAsia" w:ascii="Times New Roman" w:hAnsi="Times New Roman" w:eastAsia="宋体" w:cs="Times New Roman"/>
                <w:color w:val="000000" w:themeColor="text1"/>
                <w:szCs w:val="21"/>
                <w:highlight w:val="none"/>
              </w:rPr>
              <w:t>供货时间</w:t>
            </w:r>
            <w:r>
              <w:rPr>
                <w:rFonts w:ascii="Times New Roman" w:hAnsi="Times New Roman" w:eastAsia="宋体" w:cs="Times New Roman"/>
                <w:color w:val="000000" w:themeColor="text1"/>
                <w:szCs w:val="21"/>
                <w:highlight w:val="none"/>
              </w:rPr>
              <w:t>：见本文件第一章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1.7</w:t>
            </w:r>
          </w:p>
        </w:tc>
        <w:tc>
          <w:tcPr>
            <w:tcW w:w="8817" w:type="dxa"/>
            <w:gridSpan w:val="2"/>
          </w:tcPr>
          <w:p>
            <w:pPr>
              <w:adjustRightInd w:val="0"/>
              <w:snapToGrid w:val="0"/>
              <w:spacing w:line="260" w:lineRule="atLeas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付款方式：</w:t>
            </w:r>
          </w:p>
          <w:p>
            <w:pPr>
              <w:adjustRightInd w:val="0"/>
              <w:snapToGrid w:val="0"/>
              <w:spacing w:line="260" w:lineRule="atLeast"/>
              <w:rPr>
                <w:rFonts w:ascii="仿宋" w:hAnsi="仿宋" w:eastAsia="仿宋"/>
                <w:color w:val="000000" w:themeColor="text1"/>
                <w:sz w:val="24"/>
                <w:szCs w:val="24"/>
                <w:highlight w:val="none"/>
              </w:rPr>
            </w:pPr>
            <w:r>
              <w:rPr>
                <w:rFonts w:hint="eastAsia" w:ascii="Times New Roman" w:hAnsi="Times New Roman" w:cs="Times New Roman"/>
                <w:color w:val="000000" w:themeColor="text1"/>
                <w:spacing w:val="-1"/>
                <w:highlight w:val="none"/>
                <w:lang w:val="ru-RU"/>
              </w:rPr>
              <w:t>分包一：移动展业平台软件开发，</w:t>
            </w:r>
            <w:r>
              <w:rPr>
                <w:rFonts w:hint="eastAsia" w:ascii="仿宋" w:hAnsi="仿宋" w:eastAsia="仿宋"/>
                <w:color w:val="000000" w:themeColor="text1"/>
                <w:sz w:val="24"/>
                <w:szCs w:val="24"/>
                <w:highlight w:val="none"/>
              </w:rPr>
              <w:t>以转账方式支付，分次支付：</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1、合同签订后，支付合同总金额的20%；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2、系统第一批功能上线成功后，支付合同总金额的30%；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3、系统最终验收且完成所有功能上线，支付合同总金额的40%；</w:t>
            </w:r>
          </w:p>
          <w:p>
            <w:pPr>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4、最终验收且完成所有功能上线的1年后，支付合同总金额的10%。</w:t>
            </w:r>
          </w:p>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p>
            <w:pPr>
              <w:rPr>
                <w:rFonts w:ascii="Times New Roman" w:hAnsi="Times New Roman" w:cs="Times New Roman"/>
                <w:color w:val="000000" w:themeColor="text1"/>
                <w:spacing w:val="-1"/>
                <w:highlight w:val="none"/>
                <w:lang w:val="ru-RU"/>
              </w:rPr>
            </w:pPr>
          </w:p>
          <w:p>
            <w:pPr>
              <w:rPr>
                <w:rFonts w:ascii="Times New Roman" w:hAnsi="Times New Roman" w:eastAsia="宋体" w:cs="Times New Roman"/>
                <w:b/>
                <w:color w:val="000000" w:themeColor="text1"/>
                <w:szCs w:val="21"/>
                <w:highlight w:val="none"/>
              </w:rPr>
            </w:pPr>
            <w:r>
              <w:rPr>
                <w:rFonts w:hint="eastAsia" w:ascii="Times New Roman" w:hAnsi="Times New Roman" w:cs="Times New Roman"/>
                <w:color w:val="000000" w:themeColor="text1"/>
                <w:spacing w:val="-1"/>
                <w:highlight w:val="none"/>
                <w:lang w:val="ru-RU"/>
              </w:rPr>
              <w:t>分包二：移动展业平台配套硬件，根据实际的供货量进行付款。</w:t>
            </w:r>
          </w:p>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二、投标人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2.6</w:t>
            </w:r>
          </w:p>
        </w:tc>
        <w:tc>
          <w:tcPr>
            <w:tcW w:w="8817"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color w:val="000000" w:themeColor="text1"/>
                <w:szCs w:val="21"/>
                <w:highlight w:val="none"/>
              </w:rPr>
              <w:t>1.</w:t>
            </w:r>
            <w:r>
              <w:rPr>
                <w:rFonts w:ascii="Times New Roman" w:hAnsi="Times New Roman" w:eastAsia="宋体" w:cs="Times New Roman"/>
                <w:b/>
                <w:color w:val="000000" w:themeColor="text1"/>
                <w:szCs w:val="21"/>
                <w:highlight w:val="none"/>
              </w:rPr>
              <w:t>本次招标实行资格后审，投标人应满足下列要求：</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见本文件第一章</w:t>
            </w:r>
            <w:r>
              <w:rPr>
                <w:rFonts w:hint="eastAsia" w:ascii="Times New Roman" w:hAnsi="Times New Roman" w:eastAsia="宋体" w:cs="Times New Roman"/>
                <w:color w:val="000000" w:themeColor="text1"/>
                <w:szCs w:val="21"/>
                <w:highlight w:val="none"/>
              </w:rPr>
              <w:t>“三、投标人资格要求”</w:t>
            </w:r>
            <w:r>
              <w:rPr>
                <w:rFonts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2.7</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是否接受联合体投标：</w:t>
            </w:r>
            <w:r>
              <w:rPr>
                <w:rFonts w:ascii="Times New Roman" w:hAnsi="Times New Roman" w:eastAsia="宋体" w:cs="Times New Roman"/>
                <w:color w:val="000000" w:themeColor="text1"/>
                <w:szCs w:val="21"/>
                <w:highlight w:val="none"/>
                <w:u w:val="singl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三、招标文件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5.2</w:t>
            </w:r>
          </w:p>
        </w:tc>
        <w:tc>
          <w:tcPr>
            <w:tcW w:w="8817" w:type="dxa"/>
            <w:gridSpan w:val="2"/>
          </w:tcPr>
          <w:p>
            <w:pPr>
              <w:spacing w:line="400" w:lineRule="exact"/>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投标人在获取招标文件后，若对本招标文件有疑问，请将疑问以以下</w:t>
            </w:r>
            <w:r>
              <w:rPr>
                <w:rFonts w:hint="eastAsia" w:cs="宋体" w:asciiTheme="minorEastAsia" w:hAnsiTheme="minorEastAsia"/>
                <w:color w:val="000000" w:themeColor="text1"/>
                <w:kern w:val="0"/>
                <w:szCs w:val="21"/>
                <w:highlight w:val="none"/>
              </w:rPr>
              <w:t>①或②</w:t>
            </w:r>
            <w:r>
              <w:rPr>
                <w:rFonts w:hint="eastAsia" w:ascii="宋体" w:hAnsi="宋体" w:cs="宋体"/>
                <w:color w:val="000000" w:themeColor="text1"/>
                <w:kern w:val="0"/>
                <w:szCs w:val="21"/>
                <w:highlight w:val="none"/>
              </w:rPr>
              <w:t>方式提交</w:t>
            </w:r>
            <w:r>
              <w:rPr>
                <w:rFonts w:hint="eastAsia" w:ascii="Arial" w:hAnsi="Arial" w:cs="Arial"/>
                <w:color w:val="000000" w:themeColor="text1"/>
                <w:highlight w:val="none"/>
              </w:rPr>
              <w:t>，</w:t>
            </w:r>
            <w:r>
              <w:rPr>
                <w:rFonts w:hint="eastAsia" w:ascii="宋体" w:hAnsi="宋体" w:cs="宋体"/>
                <w:color w:val="000000" w:themeColor="text1"/>
                <w:kern w:val="0"/>
                <w:szCs w:val="21"/>
                <w:highlight w:val="none"/>
              </w:rPr>
              <w:t>提问截止时间</w:t>
            </w:r>
            <w:r>
              <w:rPr>
                <w:rFonts w:ascii="宋体" w:hAnsi="宋体"/>
                <w:color w:val="000000" w:themeColor="text1"/>
                <w:szCs w:val="21"/>
                <w:highlight w:val="none"/>
              </w:rPr>
              <w:t>2019</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 xml:space="preserve"> 月</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 xml:space="preserve"> 日 </w:t>
            </w:r>
            <w:r>
              <w:rPr>
                <w:rFonts w:hint="eastAsia" w:ascii="宋体" w:hAnsi="宋体"/>
                <w:color w:val="000000" w:themeColor="text1"/>
                <w:szCs w:val="21"/>
                <w:highlight w:val="none"/>
                <w:lang w:val="en-US" w:eastAsia="zh-CN"/>
              </w:rPr>
              <w:t>09</w:t>
            </w:r>
            <w:r>
              <w:rPr>
                <w:rFonts w:hint="eastAsia" w:ascii="宋体" w:hAnsi="宋体"/>
                <w:color w:val="000000" w:themeColor="text1"/>
                <w:szCs w:val="21"/>
                <w:highlight w:val="none"/>
              </w:rPr>
              <w:t xml:space="preserve"> 时</w:t>
            </w:r>
            <w:r>
              <w:rPr>
                <w:rFonts w:ascii="宋体"/>
                <w:color w:val="000000" w:themeColor="text1"/>
                <w:szCs w:val="21"/>
                <w:highlight w:val="none"/>
              </w:rPr>
              <w:t>00</w:t>
            </w:r>
            <w:r>
              <w:rPr>
                <w:rFonts w:hint="eastAsia" w:ascii="宋体" w:hAnsi="宋体"/>
                <w:color w:val="000000" w:themeColor="text1"/>
                <w:szCs w:val="21"/>
                <w:highlight w:val="none"/>
              </w:rPr>
              <w:t>分</w:t>
            </w:r>
            <w:r>
              <w:rPr>
                <w:rFonts w:hint="eastAsia" w:ascii="宋体" w:hAnsi="宋体" w:cs="宋体"/>
                <w:color w:val="000000" w:themeColor="text1"/>
                <w:kern w:val="0"/>
                <w:szCs w:val="21"/>
                <w:highlight w:val="none"/>
              </w:rPr>
              <w:t>：</w:t>
            </w:r>
          </w:p>
          <w:p>
            <w:pPr>
              <w:spacing w:line="400" w:lineRule="exact"/>
              <w:jc w:val="left"/>
              <w:rPr>
                <w:rFonts w:ascii="宋体" w:hAnsi="宋体" w:cs="宋体"/>
                <w:color w:val="000000" w:themeColor="text1"/>
                <w:kern w:val="0"/>
                <w:szCs w:val="21"/>
                <w:highlight w:val="none"/>
              </w:rPr>
            </w:pPr>
            <w:r>
              <w:rPr>
                <w:rFonts w:hint="eastAsia" w:cs="宋体" w:asciiTheme="minorEastAsia" w:hAnsiTheme="minorEastAsia"/>
                <w:color w:val="000000" w:themeColor="text1"/>
                <w:kern w:val="0"/>
                <w:szCs w:val="21"/>
                <w:highlight w:val="none"/>
              </w:rPr>
              <w:t>①将纸质版疑问文件（须加盖投标单位公章）</w:t>
            </w:r>
            <w:r>
              <w:rPr>
                <w:rFonts w:hint="eastAsia" w:ascii="宋体" w:hAnsi="宋体" w:cs="宋体"/>
                <w:color w:val="000000" w:themeColor="text1"/>
                <w:kern w:val="0"/>
                <w:szCs w:val="21"/>
                <w:highlight w:val="none"/>
              </w:rPr>
              <w:t>递交至招标代理机构</w:t>
            </w:r>
            <w:r>
              <w:rPr>
                <w:rFonts w:hint="eastAsia" w:ascii="宋体" w:hAnsi="宋体"/>
                <w:color w:val="000000" w:themeColor="text1"/>
                <w:szCs w:val="21"/>
                <w:highlight w:val="none"/>
              </w:rPr>
              <w:t>（疑问提交时间以招标代理机构收到的时间为准）</w:t>
            </w:r>
            <w:r>
              <w:rPr>
                <w:rFonts w:hint="eastAsia" w:ascii="宋体" w:hAnsi="宋体" w:cs="宋体"/>
                <w:color w:val="000000" w:themeColor="text1"/>
                <w:kern w:val="0"/>
                <w:szCs w:val="21"/>
                <w:highlight w:val="none"/>
              </w:rPr>
              <w:t>；</w:t>
            </w:r>
          </w:p>
          <w:p>
            <w:pPr>
              <w:spacing w:line="400" w:lineRule="exact"/>
              <w:jc w:val="left"/>
              <w:rPr>
                <w:rFonts w:ascii="宋体" w:hAnsi="宋体"/>
                <w:color w:val="000000" w:themeColor="text1"/>
                <w:szCs w:val="21"/>
                <w:highlight w:val="none"/>
              </w:rPr>
            </w:pPr>
            <w:r>
              <w:rPr>
                <w:rFonts w:hint="eastAsia" w:cs="宋体" w:asciiTheme="minorEastAsia" w:hAnsiTheme="minorEastAsia"/>
                <w:color w:val="000000" w:themeColor="text1"/>
                <w:kern w:val="0"/>
                <w:szCs w:val="21"/>
                <w:highlight w:val="none"/>
              </w:rPr>
              <w:t>②</w:t>
            </w:r>
            <w:r>
              <w:rPr>
                <w:rFonts w:hint="eastAsia" w:ascii="宋体" w:hAnsi="宋体" w:cs="宋体"/>
                <w:color w:val="000000" w:themeColor="text1"/>
                <w:kern w:val="0"/>
                <w:szCs w:val="21"/>
                <w:highlight w:val="none"/>
              </w:rPr>
              <w:t>将</w:t>
            </w:r>
            <w:r>
              <w:rPr>
                <w:rFonts w:hint="eastAsia" w:cs="宋体" w:asciiTheme="minorEastAsia" w:hAnsiTheme="minorEastAsia"/>
                <w:color w:val="000000" w:themeColor="text1"/>
                <w:kern w:val="0"/>
                <w:szCs w:val="21"/>
                <w:highlight w:val="none"/>
              </w:rPr>
              <w:t>疑问文件</w:t>
            </w:r>
            <w:r>
              <w:rPr>
                <w:rFonts w:hint="eastAsia" w:ascii="宋体" w:hAnsi="宋体" w:cs="宋体"/>
                <w:color w:val="000000" w:themeColor="text1"/>
                <w:kern w:val="0"/>
                <w:szCs w:val="21"/>
                <w:highlight w:val="none"/>
              </w:rPr>
              <w:t>（须加盖投标单位公章）的扫描件和疑问文件（word版）以邮件形式发送至招标代理机构指定邮箱</w:t>
            </w:r>
            <w:r>
              <w:rPr>
                <w:rFonts w:hint="eastAsia" w:ascii="Arial" w:hAnsi="Arial" w:cs="Arial"/>
                <w:b/>
                <w:color w:val="000000" w:themeColor="text1"/>
                <w:sz w:val="20"/>
                <w:highlight w:val="none"/>
                <w:u w:val="single"/>
              </w:rPr>
              <w:t>1345407916@qq.com</w:t>
            </w:r>
            <w:r>
              <w:rPr>
                <w:rFonts w:hint="eastAsia" w:ascii="宋体" w:hAnsi="宋体"/>
                <w:color w:val="000000" w:themeColor="text1"/>
                <w:szCs w:val="21"/>
                <w:highlight w:val="none"/>
              </w:rPr>
              <w:t>（疑问提交时间以招标代理机构收到邮件的时间为准）。同时，投标人须在发送疑问文件邮件之日起，在7个工作日内，将纸质版</w:t>
            </w:r>
            <w:r>
              <w:rPr>
                <w:rFonts w:hint="eastAsia" w:ascii="宋体" w:hAnsi="宋体" w:cs="宋体"/>
                <w:color w:val="000000" w:themeColor="text1"/>
                <w:kern w:val="0"/>
                <w:szCs w:val="21"/>
                <w:highlight w:val="none"/>
              </w:rPr>
              <w:t>疑问文件（须</w:t>
            </w:r>
            <w:r>
              <w:rPr>
                <w:rFonts w:hint="eastAsia" w:ascii="宋体" w:hAnsi="宋体"/>
                <w:color w:val="000000" w:themeColor="text1"/>
                <w:szCs w:val="21"/>
                <w:highlight w:val="none"/>
              </w:rPr>
              <w:t>加盖投标单位公章</w:t>
            </w:r>
            <w:r>
              <w:rPr>
                <w:rFonts w:hint="eastAsia" w:ascii="宋体" w:hAnsi="宋体" w:cs="宋体"/>
                <w:color w:val="000000" w:themeColor="text1"/>
                <w:kern w:val="0"/>
                <w:szCs w:val="21"/>
                <w:highlight w:val="none"/>
              </w:rPr>
              <w:t>）送至或寄至招标代理机构，地址详见本文件第一章《招标公告》“九、联系方式”。</w:t>
            </w:r>
          </w:p>
          <w:p>
            <w:pPr>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注：1）疑问内容以加盖投标单位公章的为准。</w:t>
            </w:r>
          </w:p>
          <w:p>
            <w:pPr>
              <w:rPr>
                <w:rFonts w:ascii="Times New Roman" w:hAnsi="Times New Roman" w:eastAsia="宋体" w:cs="Times New Roman"/>
                <w:color w:val="000000" w:themeColor="text1"/>
                <w:szCs w:val="21"/>
                <w:highlight w:val="none"/>
              </w:rPr>
            </w:pPr>
            <w:r>
              <w:rPr>
                <w:rFonts w:hint="eastAsia" w:ascii="宋体" w:hAnsi="宋体"/>
                <w:color w:val="000000" w:themeColor="text1"/>
                <w:szCs w:val="21"/>
                <w:highlight w:val="none"/>
              </w:rPr>
              <w:t>2）若投标人在提问截止时间前未按以上</w:t>
            </w:r>
            <w:r>
              <w:rPr>
                <w:rFonts w:hint="eastAsia" w:cs="宋体" w:asciiTheme="minorEastAsia" w:hAnsiTheme="minorEastAsia"/>
                <w:color w:val="000000" w:themeColor="text1"/>
                <w:kern w:val="0"/>
                <w:szCs w:val="21"/>
                <w:highlight w:val="none"/>
              </w:rPr>
              <w:t>①或②</w:t>
            </w:r>
            <w:r>
              <w:rPr>
                <w:rFonts w:hint="eastAsia" w:ascii="宋体" w:hAnsi="宋体" w:cs="宋体"/>
                <w:color w:val="000000" w:themeColor="text1"/>
                <w:kern w:val="0"/>
                <w:szCs w:val="21"/>
                <w:highlight w:val="none"/>
              </w:rPr>
              <w:t>方式提交疑问文件，</w:t>
            </w:r>
            <w:r>
              <w:rPr>
                <w:rFonts w:hint="eastAsia" w:ascii="宋体" w:hAnsi="宋体"/>
                <w:color w:val="000000" w:themeColor="text1"/>
                <w:szCs w:val="21"/>
                <w:highlight w:val="none"/>
              </w:rPr>
              <w:t>招标人及招标代理机构有权不予受理该投标人疑问文件。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5.4</w:t>
            </w:r>
          </w:p>
        </w:tc>
        <w:tc>
          <w:tcPr>
            <w:tcW w:w="8817" w:type="dxa"/>
            <w:gridSpan w:val="2"/>
          </w:tcPr>
          <w:p>
            <w:pPr>
              <w:spacing w:line="400" w:lineRule="exact"/>
              <w:rPr>
                <w:rFonts w:cs="Times New Roman" w:asciiTheme="minorEastAsia" w:hAnsiTheme="minorEastAsia"/>
                <w:color w:val="000000" w:themeColor="text1"/>
                <w:szCs w:val="21"/>
                <w:highlight w:val="none"/>
              </w:rPr>
            </w:pPr>
            <w:r>
              <w:rPr>
                <w:rFonts w:hint="eastAsia" w:cs="Times New Roman" w:asciiTheme="minorEastAsia" w:hAnsiTheme="minorEastAsia"/>
                <w:color w:val="000000" w:themeColor="text1"/>
                <w:szCs w:val="21"/>
                <w:highlight w:val="none"/>
              </w:rPr>
              <w:t xml:space="preserve">1. 招标人在认为有必要对投标人所提问题进行澄清或修改时，应于2019年 </w:t>
            </w:r>
            <w:r>
              <w:rPr>
                <w:rFonts w:hint="eastAsia" w:cs="Times New Roman" w:asciiTheme="minorEastAsia" w:hAnsiTheme="minorEastAsia"/>
                <w:color w:val="000000" w:themeColor="text1"/>
                <w:szCs w:val="21"/>
                <w:highlight w:val="none"/>
                <w:lang w:val="en-US" w:eastAsia="zh-CN"/>
              </w:rPr>
              <w:t>6</w:t>
            </w:r>
            <w:r>
              <w:rPr>
                <w:rFonts w:hint="eastAsia" w:cs="Times New Roman" w:asciiTheme="minorEastAsia" w:hAnsiTheme="minorEastAsia"/>
                <w:color w:val="000000" w:themeColor="text1"/>
                <w:szCs w:val="21"/>
                <w:highlight w:val="none"/>
              </w:rPr>
              <w:t xml:space="preserve">  月   </w:t>
            </w:r>
            <w:r>
              <w:rPr>
                <w:rFonts w:hint="eastAsia" w:cs="Times New Roman" w:asciiTheme="minorEastAsia" w:hAnsiTheme="minorEastAsia"/>
                <w:color w:val="000000" w:themeColor="text1"/>
                <w:szCs w:val="21"/>
                <w:highlight w:val="none"/>
                <w:lang w:val="en-US" w:eastAsia="zh-CN"/>
              </w:rPr>
              <w:t>6</w:t>
            </w:r>
            <w:r>
              <w:rPr>
                <w:rFonts w:hint="eastAsia" w:cs="Times New Roman" w:asciiTheme="minorEastAsia" w:hAnsiTheme="minorEastAsia"/>
                <w:color w:val="000000" w:themeColor="text1"/>
                <w:szCs w:val="21"/>
                <w:highlight w:val="none"/>
              </w:rPr>
              <w:t xml:space="preserve"> 日 </w:t>
            </w:r>
            <w:r>
              <w:rPr>
                <w:rFonts w:hint="eastAsia" w:cs="Times New Roman" w:asciiTheme="minorEastAsia" w:hAnsiTheme="minorEastAsia"/>
                <w:color w:val="000000" w:themeColor="text1"/>
                <w:szCs w:val="21"/>
                <w:highlight w:val="none"/>
                <w:lang w:val="en-US" w:eastAsia="zh-CN"/>
              </w:rPr>
              <w:t>18</w:t>
            </w:r>
            <w:r>
              <w:rPr>
                <w:rFonts w:hint="eastAsia" w:cs="Times New Roman" w:asciiTheme="minorEastAsia" w:hAnsiTheme="minorEastAsia"/>
                <w:color w:val="000000" w:themeColor="text1"/>
                <w:szCs w:val="21"/>
                <w:highlight w:val="none"/>
              </w:rPr>
              <w:t xml:space="preserve"> 时00分前，将澄清或者修改内容</w:t>
            </w:r>
            <w:r>
              <w:rPr>
                <w:rFonts w:cs="Times New Roman" w:asciiTheme="minorEastAsia" w:hAnsiTheme="minorEastAsia"/>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cs="Times New Roman" w:asciiTheme="minorEastAsia" w:hAnsiTheme="minorEastAsia"/>
                <w:color w:val="000000" w:themeColor="text1"/>
                <w:szCs w:val="21"/>
                <w:highlight w:val="none"/>
              </w:rPr>
              <w:t>发出</w:t>
            </w:r>
            <w:r>
              <w:rPr>
                <w:rFonts w:hint="eastAsia" w:ascii="Times New Roman" w:hAnsi="Times New Roman"/>
                <w:color w:val="000000" w:themeColor="text1"/>
                <w:szCs w:val="21"/>
                <w:highlight w:val="none"/>
              </w:rPr>
              <w:t>，并将澄清或者修改内容作为招标文件的补充部分。</w:t>
            </w:r>
          </w:p>
          <w:p>
            <w:pPr>
              <w:rPr>
                <w:rFonts w:ascii="Times New Roman" w:hAnsi="Times New Roman" w:eastAsia="宋体" w:cs="Times New Roman"/>
                <w:color w:val="000000" w:themeColor="text1"/>
                <w:szCs w:val="21"/>
                <w:highlight w:val="none"/>
              </w:rPr>
            </w:pPr>
            <w:r>
              <w:rPr>
                <w:rFonts w:hint="eastAsia" w:cs="Times New Roman" w:asciiTheme="minorEastAsia" w:hAnsiTheme="minorEastAsia"/>
                <w:color w:val="000000" w:themeColor="text1"/>
                <w:szCs w:val="21"/>
                <w:highlight w:val="none"/>
              </w:rPr>
              <w:t>2.</w:t>
            </w:r>
            <w:r>
              <w:rPr>
                <w:rFonts w:ascii="Times New Roman" w:hAnsi="Times New Roman"/>
                <w:color w:val="000000" w:themeColor="text1"/>
                <w:szCs w:val="21"/>
                <w:highlight w:val="none"/>
              </w:rPr>
              <w:t>无论投标人是否</w:t>
            </w:r>
            <w:r>
              <w:rPr>
                <w:rFonts w:hint="eastAsia" w:ascii="Times New Roman" w:hAnsi="Times New Roman"/>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hint="eastAsia" w:cs="Times New Roman" w:asciiTheme="minorEastAsia" w:hAnsiTheme="minorEastAsia"/>
                <w:color w:val="000000" w:themeColor="text1"/>
                <w:szCs w:val="21"/>
                <w:highlight w:val="none"/>
              </w:rPr>
              <w:t>网上下载招标文件或澄清或修改内容，</w:t>
            </w:r>
            <w:r>
              <w:rPr>
                <w:rFonts w:ascii="Times New Roman" w:hAnsi="Times New Roman"/>
                <w:color w:val="000000" w:themeColor="text1"/>
                <w:szCs w:val="21"/>
                <w:highlight w:val="none"/>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6.1</w:t>
            </w:r>
          </w:p>
        </w:tc>
        <w:tc>
          <w:tcPr>
            <w:tcW w:w="8817" w:type="dxa"/>
            <w:gridSpan w:val="2"/>
          </w:tcPr>
          <w:p>
            <w:pPr>
              <w:spacing w:line="400" w:lineRule="exact"/>
              <w:rPr>
                <w:rFonts w:cs="Times New Roman" w:asciiTheme="minorEastAsia" w:hAnsiTheme="minorEastAsia"/>
                <w:color w:val="000000" w:themeColor="text1"/>
                <w:szCs w:val="21"/>
                <w:highlight w:val="none"/>
              </w:rPr>
            </w:pPr>
            <w:r>
              <w:rPr>
                <w:rFonts w:cs="Times New Roman" w:asciiTheme="minorEastAsia" w:hAnsiTheme="minorEastAsia"/>
                <w:color w:val="000000" w:themeColor="text1"/>
                <w:szCs w:val="21"/>
                <w:highlight w:val="none"/>
              </w:rPr>
              <w:t>1、招标人认为有必要，可以对已发出的招标文件主动进行澄清或者修改，应于</w:t>
            </w:r>
            <w:r>
              <w:rPr>
                <w:rFonts w:cs="Times New Roman" w:asciiTheme="minorEastAsia" w:hAnsiTheme="minorEastAsia"/>
                <w:color w:val="000000" w:themeColor="text1"/>
                <w:szCs w:val="21"/>
                <w:highlight w:val="none"/>
                <w:u w:val="single"/>
              </w:rPr>
              <w:t>201</w:t>
            </w:r>
            <w:r>
              <w:rPr>
                <w:rFonts w:hint="eastAsia" w:cs="Times New Roman" w:asciiTheme="minorEastAsia" w:hAnsiTheme="minorEastAsia"/>
                <w:color w:val="000000" w:themeColor="text1"/>
                <w:szCs w:val="21"/>
                <w:highlight w:val="none"/>
                <w:u w:val="single"/>
              </w:rPr>
              <w:t>9</w:t>
            </w:r>
            <w:r>
              <w:rPr>
                <w:rFonts w:cs="Times New Roman" w:asciiTheme="minorEastAsia" w:hAnsiTheme="minorEastAsia"/>
                <w:color w:val="000000" w:themeColor="text1"/>
                <w:szCs w:val="21"/>
                <w:highlight w:val="none"/>
                <w:u w:val="single"/>
              </w:rPr>
              <w:t>年</w:t>
            </w:r>
            <w:r>
              <w:rPr>
                <w:rFonts w:hint="eastAsia" w:cs="Times New Roman" w:asciiTheme="minorEastAsia" w:hAnsiTheme="minorEastAsia"/>
                <w:color w:val="000000" w:themeColor="text1"/>
                <w:szCs w:val="21"/>
                <w:highlight w:val="none"/>
                <w:u w:val="single"/>
                <w:lang w:val="en-US" w:eastAsia="zh-CN"/>
              </w:rPr>
              <w:t>6</w:t>
            </w:r>
            <w:r>
              <w:rPr>
                <w:rFonts w:cs="Times New Roman" w:asciiTheme="minorEastAsia" w:hAnsiTheme="minorEastAsia"/>
                <w:color w:val="000000" w:themeColor="text1"/>
                <w:szCs w:val="21"/>
                <w:highlight w:val="none"/>
                <w:u w:val="single"/>
              </w:rPr>
              <w:t>月</w:t>
            </w:r>
            <w:r>
              <w:rPr>
                <w:rFonts w:hint="eastAsia" w:cs="Times New Roman" w:asciiTheme="minorEastAsia" w:hAnsiTheme="minorEastAsia"/>
                <w:color w:val="000000" w:themeColor="text1"/>
                <w:szCs w:val="21"/>
                <w:highlight w:val="none"/>
                <w:u w:val="single"/>
                <w:lang w:val="en-US" w:eastAsia="zh-CN"/>
              </w:rPr>
              <w:t>6</w:t>
            </w:r>
            <w:r>
              <w:rPr>
                <w:rFonts w:cs="Times New Roman" w:asciiTheme="minorEastAsia" w:hAnsiTheme="minorEastAsia"/>
                <w:color w:val="000000" w:themeColor="text1"/>
                <w:szCs w:val="21"/>
                <w:highlight w:val="none"/>
                <w:u w:val="single"/>
              </w:rPr>
              <w:t>日</w:t>
            </w:r>
            <w:r>
              <w:rPr>
                <w:rFonts w:hint="eastAsia" w:cs="Times New Roman" w:asciiTheme="minorEastAsia" w:hAnsiTheme="minorEastAsia"/>
                <w:color w:val="000000" w:themeColor="text1"/>
                <w:szCs w:val="21"/>
                <w:highlight w:val="none"/>
                <w:u w:val="single"/>
                <w:lang w:val="en-US" w:eastAsia="zh-CN"/>
              </w:rPr>
              <w:t>18</w:t>
            </w:r>
            <w:r>
              <w:rPr>
                <w:rFonts w:cs="Times New Roman" w:asciiTheme="minorEastAsia" w:hAnsiTheme="minorEastAsia"/>
                <w:color w:val="000000" w:themeColor="text1"/>
                <w:szCs w:val="21"/>
                <w:highlight w:val="none"/>
                <w:u w:val="single"/>
              </w:rPr>
              <w:t>时</w:t>
            </w:r>
            <w:r>
              <w:rPr>
                <w:rFonts w:hint="eastAsia" w:cs="Times New Roman" w:asciiTheme="minorEastAsia" w:hAnsiTheme="minorEastAsia"/>
                <w:color w:val="000000" w:themeColor="text1"/>
                <w:szCs w:val="21"/>
                <w:highlight w:val="none"/>
                <w:u w:val="single"/>
                <w:lang w:val="en-US" w:eastAsia="zh-CN"/>
              </w:rPr>
              <w:t>00</w:t>
            </w:r>
            <w:r>
              <w:rPr>
                <w:rFonts w:cs="Times New Roman" w:asciiTheme="minorEastAsia" w:hAnsiTheme="minorEastAsia"/>
                <w:color w:val="000000" w:themeColor="text1"/>
                <w:szCs w:val="21"/>
                <w:highlight w:val="none"/>
                <w:u w:val="single"/>
              </w:rPr>
              <w:t>分</w:t>
            </w:r>
            <w:r>
              <w:rPr>
                <w:rFonts w:cs="Times New Roman" w:asciiTheme="minorEastAsia" w:hAnsiTheme="minorEastAsia"/>
                <w:color w:val="000000" w:themeColor="text1"/>
                <w:szCs w:val="21"/>
                <w:highlight w:val="none"/>
              </w:rPr>
              <w:t>前，</w:t>
            </w:r>
            <w:r>
              <w:rPr>
                <w:rFonts w:hint="eastAsia" w:cs="Times New Roman" w:asciiTheme="minorEastAsia" w:hAnsiTheme="minorEastAsia"/>
                <w:color w:val="000000" w:themeColor="text1"/>
                <w:szCs w:val="21"/>
                <w:highlight w:val="none"/>
              </w:rPr>
              <w:t>将澄清或者修改内容在</w:t>
            </w:r>
            <w:r>
              <w:rPr>
                <w:rFonts w:hint="eastAsia" w:cs="Times New Roman" w:asciiTheme="minorEastAsia" w:hAnsiTheme="minorEastAsia"/>
                <w:color w:val="000000" w:themeColor="text1"/>
                <w:szCs w:val="21"/>
                <w:highlight w:val="none"/>
                <w:u w:val="single"/>
              </w:rPr>
              <w:t>《重庆国际投资咨询集团网》（www.cqiic.com）</w:t>
            </w:r>
            <w:r>
              <w:rPr>
                <w:rFonts w:cs="Times New Roman" w:asciiTheme="minorEastAsia" w:hAnsiTheme="minorEastAsia"/>
                <w:color w:val="000000" w:themeColor="text1"/>
                <w:szCs w:val="21"/>
                <w:highlight w:val="none"/>
              </w:rPr>
              <w:t>发出</w:t>
            </w:r>
            <w:r>
              <w:rPr>
                <w:rFonts w:hint="eastAsia" w:cs="Times New Roman" w:asciiTheme="minorEastAsia" w:hAnsiTheme="minorEastAsia"/>
                <w:color w:val="000000" w:themeColor="text1"/>
                <w:szCs w:val="21"/>
                <w:highlight w:val="none"/>
              </w:rPr>
              <w:t>，并将澄清或者修改内容作为招标文件的补充部分。</w:t>
            </w:r>
          </w:p>
          <w:p>
            <w:pPr>
              <w:rPr>
                <w:rFonts w:ascii="Times New Roman" w:hAnsi="Times New Roman" w:eastAsia="宋体" w:cs="Times New Roman"/>
                <w:color w:val="000000" w:themeColor="text1"/>
                <w:szCs w:val="21"/>
                <w:highlight w:val="none"/>
              </w:rPr>
            </w:pPr>
            <w:r>
              <w:rPr>
                <w:rFonts w:cs="Times New Roman" w:asciiTheme="minorEastAsia" w:hAnsiTheme="minorEastAsia"/>
                <w:color w:val="000000" w:themeColor="text1"/>
                <w:szCs w:val="21"/>
                <w:highlight w:val="none"/>
              </w:rPr>
              <w:t>2、</w:t>
            </w:r>
            <w:r>
              <w:rPr>
                <w:rFonts w:ascii="Times New Roman" w:hAnsi="Times New Roman"/>
                <w:color w:val="000000" w:themeColor="text1"/>
                <w:szCs w:val="21"/>
                <w:highlight w:val="none"/>
              </w:rPr>
              <w:t>无论投标人是否</w:t>
            </w:r>
            <w:r>
              <w:rPr>
                <w:rFonts w:hint="eastAsia" w:ascii="Times New Roman" w:hAnsi="Times New Roman"/>
                <w:color w:val="000000" w:themeColor="text1"/>
                <w:szCs w:val="21"/>
                <w:highlight w:val="none"/>
              </w:rPr>
              <w:t>在</w:t>
            </w:r>
            <w:r>
              <w:rPr>
                <w:rFonts w:hint="eastAsia" w:cs="Times New Roman" w:asciiTheme="minorEastAsia" w:hAnsiTheme="minorEastAsia"/>
                <w:color w:val="000000" w:themeColor="text1"/>
                <w:szCs w:val="21"/>
                <w:highlight w:val="none"/>
                <w:u w:val="single"/>
              </w:rPr>
              <w:t>《重庆国际投资咨询集团网》（www.cqiic.com）</w:t>
            </w:r>
            <w:r>
              <w:rPr>
                <w:rFonts w:hint="eastAsia" w:cs="Times New Roman" w:asciiTheme="minorEastAsia" w:hAnsiTheme="minorEastAsia"/>
                <w:color w:val="000000" w:themeColor="text1"/>
                <w:szCs w:val="21"/>
                <w:highlight w:val="none"/>
              </w:rPr>
              <w:t>网上下载招标文件或澄清或修改内容，</w:t>
            </w:r>
            <w:r>
              <w:rPr>
                <w:rFonts w:ascii="Times New Roman" w:hAnsi="Times New Roman"/>
                <w:color w:val="000000" w:themeColor="text1"/>
                <w:szCs w:val="21"/>
                <w:highlight w:val="none"/>
              </w:rPr>
              <w:t>招标人和招标机构均视为投标人已知晓招标文件全部澄清或修改内容，由此产生的一切后果均由投标人自己负责</w:t>
            </w:r>
            <w:r>
              <w:rPr>
                <w:rFonts w:cs="Times New Roman" w:asciiTheme="minorEastAsia" w:hAnsiTheme="minor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11.1</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11.2</w:t>
            </w:r>
          </w:p>
        </w:tc>
        <w:tc>
          <w:tcPr>
            <w:tcW w:w="8817" w:type="dxa"/>
            <w:gridSpan w:val="2"/>
            <w:vAlign w:val="center"/>
          </w:tcPr>
          <w:p>
            <w:pPr>
              <w:pStyle w:val="12"/>
              <w:rPr>
                <w:rFonts w:ascii="Times New Roman" w:hAnsi="Times New Roman" w:eastAsia="宋体" w:cs="Times New Roman"/>
                <w:color w:val="000000" w:themeColor="text1"/>
                <w:szCs w:val="21"/>
                <w:highlight w:val="none"/>
              </w:rPr>
            </w:pPr>
            <w:r>
              <w:rPr>
                <w:rFonts w:hint="eastAsia" w:ascii="Times New Roman" w:hAnsi="Times New Roman" w:cs="Times New Roman"/>
                <w:color w:val="000000" w:themeColor="text1"/>
                <w:spacing w:val="-1"/>
                <w:highlight w:val="none"/>
                <w:lang w:val="ru-RU"/>
              </w:rPr>
              <w:t>分包一：移动展业平台软件开发</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投标报价包括投标总报价、优惠赠送人月数量报价、免费维保期后的年维保费率（简称：年维保费率）报价及新增需求人月单价(未来三年内)报价，应完全包含招标文件（含附件、答疑、澄清及修改文件等）要求的服务范围。若因投标人在投标报价时有漏报、缺项的情况发生，招标人视为投标人已充分理解招标文件要求，漏报、漏项部分已计入投标报价之中，若中标后签订合同时单价不予调整。具体要求：项目报价为完成所要求服务的整体包干价，应完全包含所有工作建设所需的人工费用、交通工具、办公设施、第三方软件及税金等全部相关费用。</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2、（1）本分包采购预算：220万元，投标人投标总报价不得超过该分包采购预算，否则为废标。</w:t>
            </w:r>
          </w:p>
          <w:p>
            <w:pPr>
              <w:pStyle w:val="12"/>
              <w:rPr>
                <w:color w:val="000000" w:themeColor="text1"/>
                <w:highlight w:val="none"/>
              </w:rPr>
            </w:pPr>
            <w:r>
              <w:rPr>
                <w:rFonts w:hint="eastAsia" w:ascii="Times New Roman" w:hAnsi="Times New Roman" w:eastAsia="宋体" w:cs="Times New Roman"/>
                <w:color w:val="000000" w:themeColor="text1"/>
                <w:szCs w:val="21"/>
                <w:highlight w:val="none"/>
              </w:rPr>
              <w:t>（2）优惠赠送人月数量</w:t>
            </w:r>
            <w:r>
              <w:rPr>
                <w:rFonts w:hint="eastAsia"/>
                <w:color w:val="000000" w:themeColor="text1"/>
                <w:highlight w:val="none"/>
              </w:rPr>
              <w:t>以绝对值报价，单位为人月。</w:t>
            </w:r>
          </w:p>
          <w:p>
            <w:pPr>
              <w:pStyle w:val="12"/>
              <w:rPr>
                <w:color w:val="000000" w:themeColor="text1"/>
                <w:highlight w:val="none"/>
              </w:rPr>
            </w:pPr>
            <w:r>
              <w:rPr>
                <w:rFonts w:hint="eastAsia"/>
                <w:color w:val="000000" w:themeColor="text1"/>
                <w:highlight w:val="none"/>
              </w:rPr>
              <w:t>（3）</w:t>
            </w:r>
            <w:r>
              <w:rPr>
                <w:rFonts w:hint="eastAsia" w:ascii="Times New Roman" w:hAnsi="Times New Roman" w:eastAsia="宋体" w:cs="Times New Roman"/>
                <w:color w:val="000000" w:themeColor="text1"/>
                <w:szCs w:val="21"/>
                <w:highlight w:val="none"/>
              </w:rPr>
              <w:t>年维保费率按百分比率进行报价（即投标总报价的百分之几），报价不能超过8%，否则为废标。</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3、投标报价还应按照招标文件第二章《投标人须知》第二节“</w:t>
            </w:r>
            <w:r>
              <w:rPr>
                <w:rFonts w:ascii="Times New Roman" w:hAnsi="Times New Roman" w:eastAsia="宋体" w:cs="Times New Roman"/>
                <w:color w:val="000000" w:themeColor="text1"/>
                <w:szCs w:val="21"/>
                <w:highlight w:val="none"/>
              </w:rPr>
              <w:t>十一、招标代理服务费</w:t>
            </w:r>
            <w:r>
              <w:rPr>
                <w:rFonts w:hint="eastAsia" w:ascii="Times New Roman" w:hAnsi="Times New Roman" w:eastAsia="宋体" w:cs="Times New Roman"/>
                <w:color w:val="000000" w:themeColor="text1"/>
                <w:szCs w:val="21"/>
                <w:highlight w:val="none"/>
              </w:rPr>
              <w:t>”的约定，将招标代理服务费计入投标总报价中，但不单独列项。</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特别说明：新增需求人月单价(未来三年内)报价</w:t>
            </w:r>
            <w:r>
              <w:rPr>
                <w:rFonts w:hint="eastAsia"/>
                <w:color w:val="000000" w:themeColor="text1"/>
                <w:highlight w:val="none"/>
              </w:rPr>
              <w:t>不计入总报价也不进行评审，但须各投标人填列响应；投标人响应后，</w:t>
            </w:r>
            <w:r>
              <w:rPr>
                <w:rFonts w:hint="eastAsia" w:ascii="Times New Roman" w:hAnsi="Times New Roman" w:eastAsia="宋体" w:cs="Times New Roman"/>
                <w:color w:val="000000" w:themeColor="text1"/>
                <w:szCs w:val="21"/>
                <w:highlight w:val="none"/>
              </w:rPr>
              <w:t>未来三年内</w:t>
            </w:r>
            <w:r>
              <w:rPr>
                <w:rFonts w:hint="eastAsia"/>
                <w:color w:val="000000" w:themeColor="text1"/>
                <w:highlight w:val="none"/>
              </w:rPr>
              <w:t>本项目的相关</w:t>
            </w:r>
            <w:r>
              <w:rPr>
                <w:rFonts w:hint="eastAsia"/>
                <w:color w:val="000000" w:themeColor="text1"/>
                <w:highlight w:val="none"/>
                <w:shd w:val="clear" w:color="FFFFFF" w:fill="D9D9D9"/>
              </w:rPr>
              <w:t>新增</w:t>
            </w:r>
            <w:r>
              <w:rPr>
                <w:rFonts w:hint="eastAsia"/>
                <w:color w:val="000000" w:themeColor="text1"/>
                <w:highlight w:val="none"/>
              </w:rPr>
              <w:t>需求，业主和中标人可参照此人月单价执行。</w:t>
            </w:r>
          </w:p>
          <w:p>
            <w:pPr>
              <w:pStyle w:val="12"/>
              <w:rPr>
                <w:rFonts w:ascii="Times New Roman" w:hAnsi="Times New Roman" w:eastAsia="宋体" w:cs="Times New Roman"/>
                <w:color w:val="000000" w:themeColor="text1"/>
                <w:szCs w:val="21"/>
                <w:highlight w:val="none"/>
              </w:rPr>
            </w:pPr>
          </w:p>
          <w:p>
            <w:pPr>
              <w:pStyle w:val="12"/>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分包二：移动展业平台配套硬件</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投标报价包括投标总报价及产品单价报价，应完全包含招标文件（含附件、答疑、澄清及修改文件等）要求的服务范围。若因投标人在投标报价时有漏报、缺项的情况发生，招标人视为投标人已充分理解招标文件要求，漏报、漏项部分已计入投标报价之中，若中标后签订合同时单价不予调整。具体要求：项目报价为完成所要求服务的整体包干价，应包含设备所有工作建设所需的人工费用、交通工具、第三方硬件及税费等全部相关费用。</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2、（1）本分包采购预算：80万元，投标人投标总报价不得超过该分包采购预算，否则为废标。</w:t>
            </w:r>
          </w:p>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（2）单台设备报价不得超过4000元/台，否则作废标处理。</w:t>
            </w:r>
          </w:p>
          <w:p>
            <w:pPr>
              <w:pStyle w:val="12"/>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color w:val="000000" w:themeColor="text1"/>
                <w:szCs w:val="21"/>
                <w:highlight w:val="none"/>
              </w:rPr>
              <w:t>3、投标报价还应按照招标文件第二章《投标人须知》第二节“</w:t>
            </w:r>
            <w:r>
              <w:rPr>
                <w:rFonts w:ascii="Times New Roman" w:hAnsi="Times New Roman" w:eastAsia="宋体" w:cs="Times New Roman"/>
                <w:color w:val="000000" w:themeColor="text1"/>
                <w:szCs w:val="21"/>
                <w:highlight w:val="none"/>
              </w:rPr>
              <w:t>十一、招标代理服务费</w:t>
            </w:r>
            <w:r>
              <w:rPr>
                <w:rFonts w:hint="eastAsia" w:ascii="Times New Roman" w:hAnsi="Times New Roman" w:eastAsia="宋体" w:cs="Times New Roman"/>
                <w:color w:val="000000" w:themeColor="text1"/>
                <w:szCs w:val="21"/>
                <w:highlight w:val="none"/>
              </w:rPr>
              <w:t>”的约定，将招标代理服务费计入投标总报价中，但不单独列项。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12.1</w:t>
            </w:r>
          </w:p>
        </w:tc>
        <w:tc>
          <w:tcPr>
            <w:tcW w:w="8817"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投标保证金的缴纳：</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1、投标保证金金额：</w:t>
            </w:r>
            <w:r>
              <w:rPr>
                <w:rFonts w:hint="eastAsia" w:ascii="Times New Roman" w:hAnsi="Times New Roman" w:eastAsia="宋体" w:cs="Times New Roman"/>
                <w:color w:val="000000" w:themeColor="text1"/>
                <w:szCs w:val="21"/>
                <w:highlight w:val="none"/>
              </w:rPr>
              <w:t>分包一</w:t>
            </w:r>
            <w:r>
              <w:rPr>
                <w:rFonts w:ascii="Times New Roman" w:hAnsi="Times New Roman" w:eastAsia="宋体" w:cs="Times New Roman"/>
                <w:color w:val="000000" w:themeColor="text1"/>
                <w:szCs w:val="21"/>
                <w:highlight w:val="none"/>
              </w:rPr>
              <w:t>人民币</w:t>
            </w:r>
            <w:r>
              <w:rPr>
                <w:rFonts w:hint="eastAsia" w:ascii="Times New Roman" w:hAnsi="Times New Roman" w:eastAsia="宋体" w:cs="Times New Roman"/>
                <w:color w:val="000000" w:themeColor="text1"/>
                <w:szCs w:val="21"/>
                <w:highlight w:val="none"/>
              </w:rPr>
              <w:t>4.4</w:t>
            </w:r>
            <w:r>
              <w:rPr>
                <w:rFonts w:ascii="Times New Roman" w:hAnsi="Times New Roman" w:eastAsia="宋体" w:cs="Times New Roman"/>
                <w:color w:val="000000" w:themeColor="text1"/>
                <w:szCs w:val="21"/>
                <w:highlight w:val="none"/>
              </w:rPr>
              <w:t>万元</w:t>
            </w:r>
            <w:r>
              <w:rPr>
                <w:rFonts w:hint="eastAsia" w:ascii="Times New Roman" w:hAnsi="Times New Roman" w:eastAsia="宋体" w:cs="Times New Roman"/>
                <w:color w:val="000000" w:themeColor="text1"/>
                <w:szCs w:val="21"/>
                <w:highlight w:val="none"/>
              </w:rPr>
              <w:t>，分包二</w:t>
            </w:r>
            <w:r>
              <w:rPr>
                <w:rFonts w:ascii="Times New Roman" w:hAnsi="Times New Roman" w:eastAsia="宋体" w:cs="Times New Roman"/>
                <w:color w:val="000000" w:themeColor="text1"/>
                <w:szCs w:val="21"/>
                <w:highlight w:val="none"/>
              </w:rPr>
              <w:t>人民币</w:t>
            </w:r>
            <w:r>
              <w:rPr>
                <w:rFonts w:hint="eastAsia" w:ascii="Times New Roman" w:hAnsi="Times New Roman" w:eastAsia="宋体" w:cs="Times New Roman"/>
                <w:color w:val="000000" w:themeColor="text1"/>
                <w:szCs w:val="21"/>
                <w:highlight w:val="none"/>
              </w:rPr>
              <w:t>1.6</w:t>
            </w:r>
            <w:r>
              <w:rPr>
                <w:rFonts w:ascii="Times New Roman" w:hAnsi="Times New Roman" w:eastAsia="宋体" w:cs="Times New Roman"/>
                <w:color w:val="000000" w:themeColor="text1"/>
                <w:szCs w:val="21"/>
                <w:highlight w:val="none"/>
              </w:rPr>
              <w:t>万元。</w:t>
            </w:r>
          </w:p>
          <w:p>
            <w:pPr>
              <w:spacing w:line="400" w:lineRule="exact"/>
              <w:rPr>
                <w:rFonts w:cs="Times New Roman" w:asciiTheme="minorEastAsia" w:hAnsiTheme="minorEastAsia"/>
                <w:color w:val="000000" w:themeColor="text1"/>
                <w:szCs w:val="21"/>
                <w:highlight w:val="none"/>
              </w:rPr>
            </w:pPr>
            <w:r>
              <w:rPr>
                <w:rFonts w:cs="Times New Roman" w:asciiTheme="minorEastAsia" w:hAnsiTheme="minorEastAsia"/>
                <w:color w:val="000000" w:themeColor="text1"/>
                <w:szCs w:val="21"/>
                <w:highlight w:val="none"/>
              </w:rPr>
              <w:t>2、投标保证金提交方式：以银行转账或银行电汇形式提交，投标人可任选一种。</w:t>
            </w:r>
          </w:p>
          <w:p>
            <w:pPr>
              <w:spacing w:line="400" w:lineRule="exact"/>
              <w:rPr>
                <w:rFonts w:ascii="Times New Roman" w:hAnsi="Times New Roman"/>
                <w:color w:val="000000" w:themeColor="text1"/>
                <w:szCs w:val="21"/>
                <w:highlight w:val="none"/>
              </w:rPr>
            </w:pPr>
            <w:r>
              <w:rPr>
                <w:rFonts w:cs="Times New Roman" w:asciiTheme="minorEastAsia" w:hAnsiTheme="minorEastAsia"/>
                <w:color w:val="000000" w:themeColor="text1"/>
                <w:szCs w:val="21"/>
                <w:highlight w:val="none"/>
              </w:rPr>
              <w:t>3、提交时间和方式：</w:t>
            </w:r>
            <w:r>
              <w:rPr>
                <w:rFonts w:hint="eastAsia" w:ascii="宋体" w:hAnsi="宋体"/>
                <w:color w:val="000000" w:themeColor="text1"/>
                <w:kern w:val="0"/>
                <w:highlight w:val="none"/>
              </w:rPr>
              <w:t>投标人应向以下指定账户</w:t>
            </w:r>
            <w:r>
              <w:rPr>
                <w:rFonts w:ascii="Times New Roman" w:hAnsi="Times New Roman" w:eastAsia="宋体" w:cs="Times New Roman"/>
                <w:color w:val="000000" w:themeColor="text1"/>
                <w:szCs w:val="21"/>
                <w:highlight w:val="none"/>
              </w:rPr>
              <w:t>直接转（汇）入</w:t>
            </w:r>
            <w:r>
              <w:rPr>
                <w:rFonts w:hint="eastAsia" w:ascii="宋体" w:hAnsi="宋体"/>
                <w:color w:val="000000" w:themeColor="text1"/>
                <w:kern w:val="0"/>
                <w:highlight w:val="none"/>
              </w:rPr>
              <w:t>足额的投标保证金</w:t>
            </w:r>
            <w:r>
              <w:rPr>
                <w:rFonts w:hint="eastAsia" w:ascii="宋体" w:hAnsi="宋体"/>
                <w:b/>
                <w:bCs/>
                <w:color w:val="000000" w:themeColor="text1"/>
                <w:kern w:val="0"/>
                <w:highlight w:val="none"/>
              </w:rPr>
              <w:t>（各投标人须按招标文件要求，在投标文件中附投标保证金提交凭证）,</w:t>
            </w:r>
            <w:r>
              <w:rPr>
                <w:rFonts w:ascii="Times New Roman" w:hAnsi="Times New Roman" w:eastAsia="宋体" w:cs="Times New Roman"/>
                <w:b/>
                <w:color w:val="000000" w:themeColor="text1"/>
                <w:szCs w:val="21"/>
                <w:highlight w:val="none"/>
              </w:rPr>
              <w:t>其转（汇）款到账截止时间为投标截止时间前</w:t>
            </w:r>
            <w:r>
              <w:rPr>
                <w:rFonts w:hint="eastAsia" w:ascii="Times New Roman" w:hAnsi="Times New Roman" w:eastAsia="宋体" w:cs="Times New Roman"/>
                <w:b/>
                <w:color w:val="000000" w:themeColor="text1"/>
                <w:szCs w:val="21"/>
                <w:highlight w:val="none"/>
              </w:rPr>
              <w:t>一天17</w:t>
            </w:r>
            <w:r>
              <w:rPr>
                <w:rFonts w:ascii="Times New Roman" w:hAnsi="Times New Roman" w:eastAsia="宋体" w:cs="Times New Roman"/>
                <w:b/>
                <w:color w:val="000000" w:themeColor="text1"/>
                <w:szCs w:val="21"/>
                <w:highlight w:val="none"/>
              </w:rPr>
              <w:t>时</w:t>
            </w:r>
            <w:r>
              <w:rPr>
                <w:rFonts w:hint="eastAsia" w:ascii="Times New Roman" w:hAnsi="Times New Roman" w:eastAsia="宋体" w:cs="Times New Roman"/>
                <w:b/>
                <w:color w:val="000000" w:themeColor="text1"/>
                <w:szCs w:val="21"/>
                <w:highlight w:val="none"/>
              </w:rPr>
              <w:t>00分</w:t>
            </w:r>
            <w:r>
              <w:rPr>
                <w:rFonts w:hint="eastAsia" w:ascii="宋体" w:hAnsi="宋体"/>
                <w:color w:val="000000" w:themeColor="text1"/>
                <w:kern w:val="0"/>
                <w:highlight w:val="none"/>
              </w:rPr>
              <w:t>。</w:t>
            </w:r>
            <w:r>
              <w:rPr>
                <w:rFonts w:hint="eastAsia" w:ascii="Times New Roman" w:hAnsi="Times New Roman"/>
                <w:color w:val="000000" w:themeColor="text1"/>
                <w:szCs w:val="21"/>
                <w:highlight w:val="none"/>
              </w:rPr>
              <w:t>若本招标文件规定的投标文件递交截止时间顺延，则投标保证金到账截止时间相应顺延。</w:t>
            </w:r>
          </w:p>
          <w:p>
            <w:pPr>
              <w:spacing w:line="400" w:lineRule="exact"/>
              <w:ind w:firstLine="420" w:firstLineChars="200"/>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各投标人在银行转账（电汇）投标保证金时，须充分考虑银行转账（电汇）的时间差风险，如同城转账、异地转账或汇款、跨行转账或电汇的时间要求，未在本招标文件规定的截止时间前到账的，按否决投标处理；</w:t>
            </w:r>
          </w:p>
          <w:p>
            <w:pPr>
              <w:spacing w:line="400" w:lineRule="exact"/>
              <w:rPr>
                <w:rFonts w:ascii="Times New Roman" w:hAnsi="Times New Roman"/>
                <w:color w:val="000000" w:themeColor="text1"/>
                <w:szCs w:val="21"/>
                <w:highlight w:val="none"/>
              </w:rPr>
            </w:pPr>
          </w:p>
          <w:p>
            <w:p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投标保证金指定账户：</w:t>
            </w:r>
          </w:p>
          <w:p>
            <w:pPr>
              <w:spacing w:line="400" w:lineRule="exact"/>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单位全称：重庆招标采购（集团）有限责任公司</w:t>
            </w:r>
          </w:p>
          <w:p>
            <w:pPr>
              <w:spacing w:line="400" w:lineRule="exact"/>
              <w:rPr>
                <w:rFonts w:ascii="Times New Roman" w:hAnsi="Times New Roman"/>
                <w:color w:val="000000" w:themeColor="text1"/>
                <w:szCs w:val="21"/>
                <w:highlight w:val="none"/>
              </w:rPr>
            </w:pPr>
            <w:r>
              <w:rPr>
                <w:rFonts w:hint="eastAsia" w:ascii="Times New Roman" w:hAnsi="Times New Roman"/>
                <w:color w:val="000000" w:themeColor="text1"/>
                <w:szCs w:val="21"/>
                <w:highlight w:val="none"/>
              </w:rPr>
              <w:t>开户行：工行重庆五江支行</w:t>
            </w:r>
          </w:p>
          <w:p>
            <w:pPr>
              <w:spacing w:line="400" w:lineRule="exact"/>
              <w:rPr>
                <w:rFonts w:cs="Times New Roman" w:asciiTheme="minorEastAsia" w:hAnsiTheme="minorEastAsia"/>
                <w:color w:val="000000" w:themeColor="text1"/>
                <w:szCs w:val="21"/>
                <w:highlight w:val="none"/>
              </w:rPr>
            </w:pPr>
            <w:r>
              <w:rPr>
                <w:rFonts w:hint="eastAsia" w:ascii="Times New Roman" w:hAnsi="Times New Roman"/>
                <w:color w:val="000000" w:themeColor="text1"/>
                <w:szCs w:val="21"/>
                <w:highlight w:val="none"/>
              </w:rPr>
              <w:t>账号：3100031009100026378</w:t>
            </w:r>
          </w:p>
          <w:p>
            <w:pPr>
              <w:spacing w:line="400" w:lineRule="exact"/>
              <w:rPr>
                <w:rFonts w:ascii="Times New Roman" w:hAnsi="Times New Roman"/>
                <w:b/>
                <w:color w:val="000000" w:themeColor="text1"/>
                <w:szCs w:val="21"/>
                <w:highlight w:val="none"/>
              </w:rPr>
            </w:pPr>
          </w:p>
          <w:p>
            <w:p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注：</w:t>
            </w:r>
          </w:p>
          <w:p>
            <w:pPr>
              <w:numPr>
                <w:ilvl w:val="0"/>
                <w:numId w:val="7"/>
              </w:num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打款时请仔细核对投标保证金账户信息：开户行、单位全称、账号等；</w:t>
            </w:r>
          </w:p>
          <w:p>
            <w:pPr>
              <w:numPr>
                <w:ilvl w:val="0"/>
                <w:numId w:val="7"/>
              </w:numPr>
              <w:spacing w:line="400" w:lineRule="exact"/>
              <w:rPr>
                <w:rFonts w:ascii="Times New Roman" w:hAnsi="Times New Roman"/>
                <w:b/>
                <w:color w:val="000000" w:themeColor="text1"/>
                <w:szCs w:val="21"/>
                <w:highlight w:val="none"/>
              </w:rPr>
            </w:pPr>
            <w:r>
              <w:rPr>
                <w:rFonts w:hint="eastAsia" w:ascii="Times New Roman" w:hAnsi="Times New Roman"/>
                <w:b/>
                <w:color w:val="000000" w:themeColor="text1"/>
                <w:szCs w:val="21"/>
                <w:highlight w:val="none"/>
              </w:rPr>
              <w:t>若投标人未按招标文件要求，在投标文件中附投标保证金提交凭证导致评标委员会无法核实其保证金是否按相关规定提交的，后果自负。</w:t>
            </w:r>
          </w:p>
          <w:p>
            <w:pPr>
              <w:rPr>
                <w:rFonts w:ascii="Times New Roman" w:hAnsi="Times New Roman" w:eastAsia="宋体" w:cs="Times New Roman"/>
                <w:b/>
                <w:color w:val="000000" w:themeColor="text1"/>
                <w:szCs w:val="21"/>
                <w:highlight w:val="none"/>
              </w:rPr>
            </w:pPr>
            <w:r>
              <w:rPr>
                <w:rFonts w:cs="Times New Roman" w:asciiTheme="minorEastAsia" w:hAnsiTheme="minorEastAsia"/>
                <w:color w:val="000000" w:themeColor="text1"/>
                <w:szCs w:val="21"/>
                <w:highlight w:val="none"/>
              </w:rPr>
              <w:t>4、投标保证金有效期：90天。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w:t>
            </w:r>
            <w:r>
              <w:rPr>
                <w:rFonts w:hint="eastAsia" w:ascii="Times New Roman" w:hAnsi="Times New Roman" w:eastAsia="宋体" w:cs="Times New Roman"/>
                <w:color w:val="000000" w:themeColor="text1"/>
                <w:szCs w:val="21"/>
                <w:highlight w:val="none"/>
              </w:rPr>
              <w:t>3</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中标候选人以外投标人的投标保证金退还：</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在中标通知书发出后5日内，将中标候选人以外的投标人投标保证金退还至其来款帐户。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 w:hRule="atLeast"/>
        </w:trPr>
        <w:tc>
          <w:tcPr>
            <w:tcW w:w="1052"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12.4</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w:t>
            </w:r>
            <w:r>
              <w:rPr>
                <w:rFonts w:ascii="Times New Roman" w:hAnsi="Times New Roman" w:eastAsia="宋体" w:cs="Times New Roman"/>
                <w:color w:val="000000" w:themeColor="text1"/>
                <w:szCs w:val="21"/>
                <w:highlight w:val="none"/>
              </w:rPr>
              <w:t>中标候选人的投标保证金的退还：</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其他中标候选人在招标人与中标人签订合同后5日内，将投标保证金退还至其来款账户。</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中标人投标保证金的退还：</w:t>
            </w:r>
          </w:p>
          <w:p>
            <w:pPr>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在招标人与中标人签订合同且提交履约担保（如果有）后5日内，将投标保证金退还至其来款账户。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12.5</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其他可以不予退还投标保证金的情形：</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公示结束后，拟中标人不按招标文件规定参加相关测试（如果有）；</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拟中标人未能按照招标文件规定通过相关测试（如果有）；</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中标人收到中标通知书领取通知后，未按照招标人的通知时限领取中标通知书；</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《招标投标法》、《招标投标法实施条例》及《重庆市招标投标条例》等法律法规规定的没收投标保证金的情况。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13</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投标文件有效期：90日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14.3</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投标文件份数:纸质版正本1份，纸质版副本1份，电子投标文件数量2份；</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其中电子投标文件须按以下执行：</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1、全套投标文件扫描件的U盘1份，格式为PDF或JPG；</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2、全套投标文件扫描件的电子光盘1份。</w:t>
            </w:r>
          </w:p>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注：电子投标文件仅作存档使用，不作为评标依据；电子投标文件与纸质版投标文件应当一致，当电子投标文件与纸质版投标文件不一致时，以纸质版投标文件为准。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五、投标文件的递交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1092"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15.1</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投标人应制作一套投标文件正本和</w:t>
            </w:r>
            <w:r>
              <w:rPr>
                <w:rFonts w:ascii="Times New Roman" w:hAnsi="Times New Roman" w:eastAsia="宋体" w:cs="Times New Roman"/>
                <w:b/>
                <w:color w:val="000000" w:themeColor="text1"/>
                <w:szCs w:val="21"/>
                <w:highlight w:val="none"/>
              </w:rPr>
              <w:t>投标人须知前附表</w:t>
            </w:r>
            <w:r>
              <w:rPr>
                <w:rFonts w:ascii="Times New Roman" w:hAnsi="Times New Roman" w:eastAsia="宋体" w:cs="Times New Roman"/>
                <w:color w:val="000000" w:themeColor="text1"/>
                <w:szCs w:val="21"/>
                <w:highlight w:val="none"/>
              </w:rPr>
              <w:t>中规定数目的副本，每套投标文件须清楚地标明“正本”或“副本”字样。若副本与正本不符，以正本为准。投标人应同时提供电子介质的投标文件，电子介质的投标文件仅作为存档使用，不作为评审的依据。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092"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15.2</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投标文件纸质版和电子版由投标人自行密封。投标文件密封袋，应有投标人法定代表人或其授权代表的签字或加盖投标单位</w:t>
            </w:r>
            <w:r>
              <w:rPr>
                <w:rFonts w:hint="eastAsia" w:ascii="Times New Roman" w:hAnsi="Times New Roman" w:eastAsia="宋体" w:cs="Times New Roman"/>
                <w:color w:val="000000" w:themeColor="text1"/>
                <w:szCs w:val="21"/>
                <w:highlight w:val="none"/>
              </w:rPr>
              <w:t>公</w:t>
            </w:r>
            <w:r>
              <w:rPr>
                <w:rFonts w:ascii="Times New Roman" w:hAnsi="Times New Roman" w:eastAsia="宋体" w:cs="Times New Roman"/>
                <w:color w:val="000000" w:themeColor="text1"/>
                <w:szCs w:val="21"/>
                <w:highlight w:val="none"/>
              </w:rPr>
              <w:t>章。封皮上写明项目名称</w:t>
            </w:r>
            <w:r>
              <w:rPr>
                <w:rFonts w:hint="eastAsia" w:ascii="Times New Roman" w:hAnsi="Times New Roman" w:eastAsia="宋体" w:cs="Times New Roman"/>
                <w:color w:val="000000" w:themeColor="text1"/>
                <w:szCs w:val="21"/>
                <w:highlight w:val="none"/>
              </w:rPr>
              <w:t>及分包号</w:t>
            </w:r>
            <w:r>
              <w:rPr>
                <w:rFonts w:ascii="Times New Roman" w:hAnsi="Times New Roman" w:eastAsia="宋体" w:cs="Times New Roman"/>
                <w:color w:val="000000" w:themeColor="text1"/>
                <w:szCs w:val="21"/>
                <w:highlight w:val="none"/>
              </w:rPr>
              <w:t>，</w:t>
            </w:r>
            <w:r>
              <w:rPr>
                <w:rFonts w:ascii="Times New Roman" w:hAnsi="Times New Roman" w:eastAsia="宋体" w:cs="Times New Roman"/>
                <w:b/>
                <w:color w:val="000000" w:themeColor="text1"/>
                <w:szCs w:val="21"/>
                <w:highlight w:val="none"/>
              </w:rPr>
              <w:t>若投标文件过厚，投标人可自行将投标文件分装成多册多部分。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1092"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16.1</w:t>
            </w:r>
          </w:p>
        </w:tc>
        <w:tc>
          <w:tcPr>
            <w:tcW w:w="8777"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投标截止时间：</w:t>
            </w:r>
            <w:r>
              <w:rPr>
                <w:rFonts w:ascii="Times New Roman" w:hAnsi="Times New Roman" w:eastAsia="宋体" w:cs="Times New Roman"/>
                <w:color w:val="000000" w:themeColor="text1"/>
                <w:szCs w:val="21"/>
                <w:highlight w:val="none"/>
                <w:u w:val="single"/>
              </w:rPr>
              <w:t>201</w:t>
            </w:r>
            <w:r>
              <w:rPr>
                <w:rFonts w:hint="eastAsia" w:ascii="Times New Roman" w:hAnsi="Times New Roman" w:eastAsia="宋体" w:cs="Times New Roman"/>
                <w:color w:val="000000" w:themeColor="text1"/>
                <w:szCs w:val="21"/>
                <w:highlight w:val="none"/>
                <w:u w:val="single"/>
              </w:rPr>
              <w:t>9</w:t>
            </w:r>
            <w:r>
              <w:rPr>
                <w:rFonts w:ascii="Times New Roman" w:hAnsi="Times New Roman" w:eastAsia="宋体" w:cs="Times New Roman"/>
                <w:color w:val="000000" w:themeColor="text1"/>
                <w:szCs w:val="21"/>
                <w:highlight w:val="none"/>
              </w:rPr>
              <w:t>年</w:t>
            </w:r>
            <w:r>
              <w:rPr>
                <w:rFonts w:hint="eastAsia" w:ascii="Times New Roman" w:hAnsi="Times New Roman" w:eastAsia="宋体" w:cs="Times New Roman"/>
                <w:color w:val="000000" w:themeColor="text1"/>
                <w:szCs w:val="21"/>
                <w:highlight w:val="none"/>
                <w:lang w:val="en-US" w:eastAsia="zh-CN"/>
              </w:rPr>
              <w:t>6</w:t>
            </w:r>
            <w:r>
              <w:rPr>
                <w:rFonts w:ascii="Times New Roman" w:hAnsi="Times New Roman" w:eastAsia="宋体" w:cs="Times New Roman"/>
                <w:color w:val="000000" w:themeColor="text1"/>
                <w:szCs w:val="21"/>
                <w:highlight w:val="none"/>
              </w:rPr>
              <w:t>月</w:t>
            </w:r>
            <w:r>
              <w:rPr>
                <w:rFonts w:hint="eastAsia" w:ascii="Times New Roman" w:hAnsi="Times New Roman" w:eastAsia="宋体" w:cs="Times New Roman"/>
                <w:color w:val="000000" w:themeColor="text1"/>
                <w:szCs w:val="21"/>
                <w:highlight w:val="none"/>
                <w:lang w:val="en-US" w:eastAsia="zh-CN"/>
              </w:rPr>
              <w:t>25</w:t>
            </w:r>
            <w:r>
              <w:rPr>
                <w:rFonts w:ascii="Times New Roman" w:hAnsi="Times New Roman" w:eastAsia="宋体" w:cs="Times New Roman"/>
                <w:color w:val="000000" w:themeColor="text1"/>
                <w:szCs w:val="21"/>
                <w:highlight w:val="none"/>
              </w:rPr>
              <w:t>日</w:t>
            </w:r>
            <w:r>
              <w:rPr>
                <w:rFonts w:hint="eastAsia" w:ascii="Times New Roman" w:hAnsi="Times New Roman" w:eastAsia="宋体" w:cs="Times New Roman"/>
                <w:color w:val="000000" w:themeColor="text1"/>
                <w:szCs w:val="21"/>
                <w:highlight w:val="none"/>
              </w:rPr>
              <w:t>10</w:t>
            </w:r>
            <w:r>
              <w:rPr>
                <w:rFonts w:ascii="Times New Roman" w:hAnsi="Times New Roman" w:eastAsia="宋体" w:cs="Times New Roman"/>
                <w:color w:val="000000" w:themeColor="text1"/>
                <w:szCs w:val="21"/>
                <w:highlight w:val="none"/>
              </w:rPr>
              <w:t>时</w:t>
            </w:r>
            <w:r>
              <w:rPr>
                <w:rFonts w:hint="eastAsia" w:ascii="Times New Roman" w:hAnsi="Times New Roman" w:eastAsia="宋体" w:cs="Times New Roman"/>
                <w:color w:val="000000" w:themeColor="text1"/>
                <w:szCs w:val="21"/>
                <w:highlight w:val="none"/>
              </w:rPr>
              <w:t>00</w:t>
            </w:r>
            <w:r>
              <w:rPr>
                <w:rFonts w:ascii="Times New Roman" w:hAnsi="Times New Roman" w:eastAsia="宋体" w:cs="Times New Roman"/>
                <w:color w:val="000000" w:themeColor="text1"/>
                <w:szCs w:val="21"/>
                <w:highlight w:val="none"/>
              </w:rPr>
              <w:t>分(北京时间)</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投标文件递交至：</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hint="eastAsia" w:cs="KLRFJD+ËÎÌå" w:asciiTheme="minorEastAsia" w:hAnsiTheme="minorEastAsia"/>
                <w:color w:val="000000" w:themeColor="text1"/>
                <w:spacing w:val="-1"/>
                <w:highlight w:val="no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六、开标及评标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18.1</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开标时间：</w:t>
            </w:r>
            <w:r>
              <w:rPr>
                <w:rFonts w:ascii="Times New Roman" w:hAnsi="Times New Roman" w:eastAsia="宋体" w:cs="Times New Roman"/>
                <w:color w:val="000000" w:themeColor="text1"/>
                <w:szCs w:val="21"/>
                <w:highlight w:val="none"/>
                <w:u w:val="single"/>
              </w:rPr>
              <w:t>201</w:t>
            </w:r>
            <w:r>
              <w:rPr>
                <w:rFonts w:hint="eastAsia" w:ascii="Times New Roman" w:hAnsi="Times New Roman" w:eastAsia="宋体" w:cs="Times New Roman"/>
                <w:color w:val="000000" w:themeColor="text1"/>
                <w:szCs w:val="21"/>
                <w:highlight w:val="none"/>
                <w:u w:val="single"/>
              </w:rPr>
              <w:t>9</w:t>
            </w:r>
            <w:r>
              <w:rPr>
                <w:rFonts w:ascii="Times New Roman" w:hAnsi="Times New Roman" w:eastAsia="宋体" w:cs="Times New Roman"/>
                <w:color w:val="000000" w:themeColor="text1"/>
                <w:szCs w:val="21"/>
                <w:highlight w:val="none"/>
              </w:rPr>
              <w:t>年</w:t>
            </w:r>
            <w:r>
              <w:rPr>
                <w:rFonts w:hint="eastAsia" w:ascii="Times New Roman" w:hAnsi="Times New Roman" w:eastAsia="宋体" w:cs="Times New Roman"/>
                <w:color w:val="000000" w:themeColor="text1"/>
                <w:szCs w:val="21"/>
                <w:highlight w:val="none"/>
                <w:lang w:val="en-US" w:eastAsia="zh-CN"/>
              </w:rPr>
              <w:t>6</w:t>
            </w:r>
            <w:r>
              <w:rPr>
                <w:rFonts w:ascii="Times New Roman" w:hAnsi="Times New Roman" w:eastAsia="宋体" w:cs="Times New Roman"/>
                <w:color w:val="000000" w:themeColor="text1"/>
                <w:szCs w:val="21"/>
                <w:highlight w:val="none"/>
              </w:rPr>
              <w:t>月</w:t>
            </w:r>
            <w:r>
              <w:rPr>
                <w:rFonts w:hint="eastAsia" w:ascii="Times New Roman" w:hAnsi="Times New Roman" w:eastAsia="宋体" w:cs="Times New Roman"/>
                <w:color w:val="000000" w:themeColor="text1"/>
                <w:szCs w:val="21"/>
                <w:highlight w:val="none"/>
                <w:lang w:val="en-US" w:eastAsia="zh-CN"/>
              </w:rPr>
              <w:t>25</w:t>
            </w:r>
            <w:r>
              <w:rPr>
                <w:rFonts w:ascii="Times New Roman" w:hAnsi="Times New Roman" w:eastAsia="宋体" w:cs="Times New Roman"/>
                <w:color w:val="000000" w:themeColor="text1"/>
                <w:szCs w:val="21"/>
                <w:highlight w:val="none"/>
              </w:rPr>
              <w:t>日</w:t>
            </w:r>
            <w:r>
              <w:rPr>
                <w:rFonts w:hint="eastAsia" w:ascii="Times New Roman" w:hAnsi="Times New Roman" w:eastAsia="宋体" w:cs="Times New Roman"/>
                <w:color w:val="000000" w:themeColor="text1"/>
                <w:szCs w:val="21"/>
                <w:highlight w:val="none"/>
              </w:rPr>
              <w:t>10</w:t>
            </w:r>
            <w:r>
              <w:rPr>
                <w:rFonts w:ascii="Times New Roman" w:hAnsi="Times New Roman" w:eastAsia="宋体" w:cs="Times New Roman"/>
                <w:color w:val="000000" w:themeColor="text1"/>
                <w:szCs w:val="21"/>
                <w:highlight w:val="none"/>
              </w:rPr>
              <w:t>时</w:t>
            </w:r>
            <w:r>
              <w:rPr>
                <w:rFonts w:hint="eastAsia" w:ascii="Times New Roman" w:hAnsi="Times New Roman" w:eastAsia="宋体" w:cs="Times New Roman"/>
                <w:color w:val="000000" w:themeColor="text1"/>
                <w:szCs w:val="21"/>
                <w:highlight w:val="none"/>
              </w:rPr>
              <w:t>00</w:t>
            </w:r>
            <w:r>
              <w:rPr>
                <w:rFonts w:ascii="Times New Roman" w:hAnsi="Times New Roman" w:eastAsia="宋体" w:cs="Times New Roman"/>
                <w:color w:val="000000" w:themeColor="text1"/>
                <w:szCs w:val="21"/>
                <w:highlight w:val="none"/>
              </w:rPr>
              <w:t>分(北京时间)</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开标地点：</w:t>
            </w:r>
            <w:r>
              <w:rPr>
                <w:rFonts w:cs="KLRFJD+ËÎÌå" w:asciiTheme="minorEastAsia" w:hAnsiTheme="minorEastAsia"/>
                <w:color w:val="000000" w:themeColor="text1"/>
                <w:spacing w:val="-1"/>
                <w:highlight w:val="none"/>
                <w:lang w:val="ru-RU"/>
              </w:rPr>
              <w:t>重庆市江北区五里店五简路2号重庆咨询大厦开标厅（详见A栋一楼指示屏）</w:t>
            </w:r>
            <w:r>
              <w:rPr>
                <w:rFonts w:hint="eastAsia" w:cs="KLRFJD+ËÎÌå" w:asciiTheme="minorEastAsia" w:hAnsiTheme="minorEastAsia"/>
                <w:color w:val="000000" w:themeColor="text1"/>
                <w:spacing w:val="-1"/>
                <w:highlight w:val="no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18.2</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开标会应由招标人或招标代理机构主持。开标程序详见“投标人须知”18.2。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19.1</w:t>
            </w:r>
          </w:p>
        </w:tc>
        <w:tc>
          <w:tcPr>
            <w:tcW w:w="8817"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19.2</w:t>
            </w:r>
          </w:p>
        </w:tc>
        <w:tc>
          <w:tcPr>
            <w:tcW w:w="8817"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评标方法，详见招标文件第三章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19.4</w:t>
            </w:r>
          </w:p>
        </w:tc>
        <w:tc>
          <w:tcPr>
            <w:tcW w:w="8817"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评标澄清，详见投标人须知19.4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19.5</w:t>
            </w:r>
          </w:p>
        </w:tc>
        <w:tc>
          <w:tcPr>
            <w:tcW w:w="8817" w:type="dxa"/>
            <w:gridSpan w:val="2"/>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中标候选人的推荐，详见第三章评标办法相关规定。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七、评标结果及定标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52" w:type="dxa"/>
            <w:vAlign w:val="center"/>
          </w:tcPr>
          <w:p>
            <w:pPr>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b/>
                <w:color w:val="000000" w:themeColor="text1"/>
                <w:szCs w:val="21"/>
                <w:highlight w:val="none"/>
              </w:rPr>
              <w:t>20</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招标人将在中国招标投标公共服务平台和</w:t>
            </w:r>
            <w:r>
              <w:rPr>
                <w:rFonts w:hint="eastAsia" w:cs="KLRFJD+ËÎÌå" w:asciiTheme="minorEastAsia" w:hAnsiTheme="minorEastAsia"/>
                <w:color w:val="000000" w:themeColor="text1"/>
                <w:spacing w:val="-1"/>
                <w:highlight w:val="none"/>
                <w:lang w:val="ru-RU"/>
              </w:rPr>
              <w:t>重庆国际投资咨询集团</w:t>
            </w:r>
            <w:r>
              <w:rPr>
                <w:rFonts w:hint="eastAsia" w:cs="Times New Roman" w:asciiTheme="minorEastAsia" w:hAnsiTheme="minorEastAsia"/>
                <w:color w:val="000000" w:themeColor="text1"/>
                <w:szCs w:val="21"/>
                <w:highlight w:val="none"/>
              </w:rPr>
              <w:t>网上</w:t>
            </w:r>
            <w:r>
              <w:rPr>
                <w:rFonts w:hint="eastAsia" w:ascii="Times New Roman" w:hAnsi="Times New Roman" w:eastAsia="宋体" w:cs="Times New Roman"/>
                <w:color w:val="000000" w:themeColor="text1"/>
                <w:szCs w:val="21"/>
                <w:highlight w:val="none"/>
              </w:rPr>
              <w:t>公示中标候选人，开标后由投标人自行登录网站查询。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21</w:t>
            </w:r>
          </w:p>
        </w:tc>
        <w:tc>
          <w:tcPr>
            <w:tcW w:w="8817" w:type="dxa"/>
            <w:gridSpan w:val="2"/>
            <w:vAlign w:val="center"/>
          </w:tcPr>
          <w:p>
            <w:pPr>
              <w:widowControl/>
              <w:spacing w:line="340" w:lineRule="exac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pPr>
              <w:widowControl/>
              <w:spacing w:line="340" w:lineRule="exac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（1）如果招标文件中没有相关测试要求的项目：招标人可以按照评标委员会提出的中标候选人名单排序依次确定其他中标候选人为中标人，也可以重新招标。</w:t>
            </w:r>
          </w:p>
          <w:p>
            <w:pPr>
              <w:widowControl/>
              <w:spacing w:line="360" w:lineRule="exac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若依次确定其他中标候选人为中标人的，应遵循以下规则：</w:t>
            </w:r>
          </w:p>
          <w:p>
            <w:pPr>
              <w:spacing w:line="360" w:lineRule="exact"/>
              <w:ind w:firstLine="420" w:firstLineChars="200"/>
              <w:contextualSpacing/>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1）第一中标候选人拟成交金额在100万以下的，排名靠后的中标候选人投标总报价不得超过前一名投标总报价的5%；</w:t>
            </w:r>
          </w:p>
          <w:p>
            <w:pPr>
              <w:spacing w:line="360" w:lineRule="exact"/>
              <w:ind w:firstLine="420" w:firstLineChars="200"/>
              <w:contextualSpacing/>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2）第一中标候选人拟成交金额在100万（含）—200万（含）的，排名靠后的中标候选人投标总报价不得超过前一名投标总报价的4%；</w:t>
            </w:r>
          </w:p>
          <w:p>
            <w:pPr>
              <w:spacing w:line="360" w:lineRule="exact"/>
              <w:ind w:firstLine="420" w:firstLineChars="200"/>
              <w:contextualSpacing/>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3）第一中标候选人拟成交金额在200万以上的，排名靠后的中标候选人投标总报价不得超过前一名投标总报价的3%；</w:t>
            </w:r>
          </w:p>
          <w:p>
            <w:pPr>
              <w:spacing w:line="360" w:lineRule="exact"/>
              <w:ind w:firstLine="420" w:firstLineChars="200"/>
              <w:contextualSpacing/>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4）经招标人采购委审批同意的其他情形。</w:t>
            </w:r>
          </w:p>
          <w:p>
            <w:pPr>
              <w:widowControl/>
              <w:spacing w:line="360" w:lineRule="exac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ind w:firstLine="420" w:firstLineChars="200"/>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（2）如果招标文件中有相关测试要求的项目：</w:t>
            </w:r>
          </w:p>
          <w:p>
            <w:pPr>
              <w:widowControl/>
              <w:ind w:firstLine="420" w:firstLineChars="200"/>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1）参加相关测试：招标人应当确定排名第一的中标候选人为拟中标人，评标结果公示结束后无异议，招标人通知拟中标人按招标文件规定参与相关测试。</w:t>
            </w:r>
          </w:p>
          <w:p>
            <w:pPr>
              <w:widowControl/>
              <w:ind w:firstLine="420" w:firstLineChars="200"/>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2）确定中标人和发出中标通知书：拟中标人按期通过相关测试的，招标人确定其为中标人并向其发出中标通知书。</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3）领取中标通知书：中标人在收到招标人或招标代理机构通知其领取中标通知书的3个工作日内领取中标通知书。</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4）依序确定中标人或重新招标：</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若第一中标候选人能按招标文件要求按期通过相关测试并按时领取中标通知书，同时满足其他签约条件，方可签约。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若第一中标候选人未能按招标文件要求按期通过相关测试或未按时领取中标通知书，则招标人有权选择依序确定中标人或者选择重新招标。</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选择依序确定中标人的程序如下：</w:t>
            </w:r>
          </w:p>
          <w:p>
            <w:pPr>
              <w:widowControl/>
              <w:tabs>
                <w:tab w:val="left" w:pos="545"/>
              </w:tabs>
              <w:ind w:firstLine="105" w:firstLineChars="5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拟确定第二中标候选人为中标人的：第一中标候选人若未能按招标文件要求参与相关测试或未通过相关测试或未按时领取中标通知书，则取消其中标候选人资格，没收其投标保证金；招标人可以选择确定第二中标候选人为拟中标人或者选择重新招标。（若招标人选择确定第二中标候选人为拟中标人的，应遵循以下规则：</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a.第一中标候选人拟成交金额在100万以下的，第二中标候选人投标总报价不得超过前一名投标总报价的5%；</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b.第一中标候选人拟成交金额在100万（含）—200万（含）的，第二中标候选人投标总报价不得超过前一名投标总报价的4%；</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c.第一中标候选人拟成交金额在200万以上的，第二中标候选人投标总报价不得超过前一名投标总报价的3%；</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d.经招标人采购委审批同意的其他情形。</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二中标候选人未能按招标文件要求参与相关测试或未通过相关测试或未按时领取中标通知书，则取消其中标候选人资格，没收其投标保证金；招标人有权选择依序确定第三中标候选人为拟中标人或者选择重新招标。</w:t>
            </w:r>
          </w:p>
          <w:p>
            <w:pPr>
              <w:widowControl/>
              <w:tabs>
                <w:tab w:val="left" w:pos="545"/>
              </w:tabs>
              <w:ind w:firstLine="105" w:firstLineChars="5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拟确定第三中标候选人为中标人的：第一、第二中标候选人若皆未能按招标文件要求参与相关测试或未通过相关测试或未按时领取中标通知书，则取消其中标候选人资格，没收其投标保证金；招标人可以选择确定第三中标候选人为拟中标人或者选择重新招标。（若招标人选择确定第三中标候选人为拟中标人的，应遵循以下规则：</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a.第一中标候选人拟成交金额在100万以下的，第三中标候选人投标总报价不得超过前一名投标总报价的5%；</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b.第一中标候选人拟成交金额在100万（含）—200万（含）的，第三中标候选人投标总报价不得超过前一名投标总报价的4%；</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c.第一中标候选人拟成交金额在200万以上的，第三中标候选人投标总报价不得超过前一名投标总报价的3%；</w:t>
            </w:r>
          </w:p>
          <w:p>
            <w:pPr>
              <w:widowControl/>
              <w:tabs>
                <w:tab w:val="left" w:pos="545"/>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d.经招标人采购委审批同意的其他情形。</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不符合上述条件的，应重新组织采购。）</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pPr>
              <w:widowControl/>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若第三中标候选人未能按招标文件要求参与相关测试或未通过相关测试或未按时领取中标通知书，则取消其中标候选人资格，没收其投标保证金，重新招标。</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注：可以不予退还投标保证金的情形：</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公示结束后，拟中标人不按招标文件规定参加相关测试（如果有）；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拟中标人未能按照招标文件规定通过相关测试（如果有）；</w:t>
            </w:r>
          </w:p>
          <w:p>
            <w:pPr>
              <w:widowControl/>
              <w:spacing w:line="16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ab/>
            </w:r>
            <w:r>
              <w:rPr>
                <w:rFonts w:hint="eastAsia" w:ascii="Times New Roman" w:hAnsi="Times New Roman" w:eastAsia="宋体" w:cs="Times New Roman"/>
                <w:color w:val="000000" w:themeColor="text1"/>
                <w:szCs w:val="21"/>
                <w:highlight w:val="none"/>
              </w:rPr>
              <w:t>中标人收到中标通知书领取通知后，未按照招标人的通知时限领取中标通知书。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八、授予合同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22.1</w:t>
            </w:r>
          </w:p>
        </w:tc>
        <w:tc>
          <w:tcPr>
            <w:tcW w:w="8817" w:type="dxa"/>
            <w:gridSpan w:val="2"/>
            <w:vAlign w:val="center"/>
          </w:tcPr>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评标结果公示结束后无异议，招标人应当在确定中标人后5日内发出中标通知书；中标人应在收到招标人或招标代理机构通知其领取中标通知书的3个工作日内领取。中标通知书的发放方式如下：</w:t>
            </w:r>
          </w:p>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1）无POC测试的项目</w:t>
            </w:r>
          </w:p>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评标结果公示无异议后，招标代理机构通知招标人确定中标人并于5日内由招标人或招标代理机构向中标人发放中标通知书。</w:t>
            </w:r>
          </w:p>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2）有POC测试的项目</w:t>
            </w:r>
          </w:p>
          <w:p>
            <w:pPr>
              <w:ind w:firstLine="48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评标结果公示无异议后，招标人按本章21条“定标”之规定进行POC测试并确定中标人，由招标人或招标代理机构向中标人发放中标通知书。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24.2</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numPr>
                <w:ilvl w:val="255"/>
                <w:numId w:val="0"/>
              </w:num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ascii="Times New Roman" w:hAnsi="Times New Roman" w:eastAsia="宋体" w:cs="Times New Roman"/>
                <w:color w:val="000000" w:themeColor="text1"/>
                <w:szCs w:val="21"/>
                <w:highlight w:val="none"/>
              </w:rPr>
              <w:t>履约保证金退还时间：</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分包一</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系统完成最终验收后，</w:t>
            </w:r>
            <w:r>
              <w:rPr>
                <w:rFonts w:hint="eastAsia" w:ascii="Times New Roman" w:hAnsi="Times New Roman" w:eastAsia="宋体" w:cs="Times New Roman"/>
                <w:color w:val="000000" w:themeColor="text1"/>
                <w:szCs w:val="21"/>
                <w:highlight w:val="none"/>
              </w:rPr>
              <w:t>一次性无息退还；</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p>
            <w:pPr>
              <w:numPr>
                <w:ilvl w:val="255"/>
                <w:numId w:val="0"/>
              </w:num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分包二，</w:t>
            </w:r>
            <w:r>
              <w:rPr>
                <w:rFonts w:ascii="Times New Roman" w:hAnsi="Times New Roman" w:eastAsia="宋体" w:cs="Times New Roman"/>
                <w:color w:val="000000" w:themeColor="text1"/>
                <w:szCs w:val="21"/>
                <w:highlight w:val="none"/>
              </w:rPr>
              <w:t>所有货物到货后，且至少使用半年验收合格后一次性</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九纪律、监督和投诉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.28</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投诉质疑，按照国家发改委等九部委[2013]23号令修改后的七部委11号令《工程建设项目招标投标活动投诉处理办法》的相关规定处理。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十一、招标代理服务费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30.1</w:t>
            </w:r>
          </w:p>
        </w:tc>
        <w:tc>
          <w:tcPr>
            <w:tcW w:w="8817" w:type="dxa"/>
            <w:gridSpan w:val="2"/>
            <w:vAlign w:val="center"/>
          </w:tcPr>
          <w:p>
            <w:pPr>
              <w:spacing w:line="360" w:lineRule="auto"/>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（一）</w:t>
            </w:r>
            <w:r>
              <w:rPr>
                <w:rFonts w:ascii="Times New Roman" w:hAnsi="Times New Roman" w:eastAsia="宋体" w:cs="Times New Roman"/>
                <w:color w:val="000000" w:themeColor="text1"/>
                <w:szCs w:val="21"/>
                <w:highlight w:val="none"/>
              </w:rPr>
              <w:t>招标代理服务费收费标准：</w:t>
            </w:r>
          </w:p>
          <w:p>
            <w:pPr>
              <w:tabs>
                <w:tab w:val="left" w:pos="1050"/>
                <w:tab w:val="left" w:pos="1470"/>
              </w:tabs>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分包一，</w:t>
            </w:r>
            <w:r>
              <w:rPr>
                <w:rFonts w:ascii="Times New Roman" w:hAnsi="Times New Roman" w:eastAsia="宋体" w:cs="Times New Roman"/>
                <w:color w:val="000000" w:themeColor="text1"/>
                <w:szCs w:val="21"/>
                <w:highlight w:val="none"/>
              </w:rPr>
              <w:t>按照</w:t>
            </w:r>
            <w:r>
              <w:rPr>
                <w:rFonts w:hint="eastAsia" w:ascii="Times New Roman" w:hAnsi="Times New Roman" w:eastAsia="宋体" w:cs="Times New Roman"/>
                <w:color w:val="000000" w:themeColor="text1"/>
                <w:szCs w:val="21"/>
                <w:highlight w:val="none"/>
              </w:rPr>
              <w:t>以下</w:t>
            </w:r>
            <w:r>
              <w:rPr>
                <w:rFonts w:ascii="Times New Roman" w:hAnsi="Times New Roman" w:eastAsia="宋体" w:cs="Times New Roman"/>
                <w:color w:val="000000" w:themeColor="text1"/>
                <w:szCs w:val="21"/>
                <w:highlight w:val="none"/>
              </w:rPr>
              <w:t>“服务招标”所列费率执行，以中标</w:t>
            </w:r>
            <w:r>
              <w:rPr>
                <w:rFonts w:hint="eastAsia" w:ascii="Times New Roman" w:hAnsi="Times New Roman" w:eastAsia="宋体" w:cs="Times New Roman"/>
                <w:color w:val="000000" w:themeColor="text1"/>
                <w:szCs w:val="21"/>
                <w:highlight w:val="none"/>
              </w:rPr>
              <w:t>的投标总报</w:t>
            </w:r>
            <w:r>
              <w:rPr>
                <w:rFonts w:ascii="Times New Roman" w:hAnsi="Times New Roman" w:eastAsia="宋体" w:cs="Times New Roman"/>
                <w:color w:val="000000" w:themeColor="text1"/>
                <w:szCs w:val="21"/>
                <w:highlight w:val="none"/>
              </w:rPr>
              <w:t>价为计费基数</w:t>
            </w:r>
            <w:r>
              <w:rPr>
                <w:rFonts w:hint="eastAsia" w:ascii="Times New Roman" w:hAnsi="Times New Roman" w:eastAsia="宋体" w:cs="Times New Roman"/>
                <w:color w:val="000000" w:themeColor="text1"/>
                <w:szCs w:val="21"/>
                <w:highlight w:val="none"/>
              </w:rPr>
              <w:t>计算（不足1.5万元的按1.5万元计）</w:t>
            </w:r>
            <w:r>
              <w:rPr>
                <w:rFonts w:ascii="Times New Roman" w:hAnsi="Times New Roman" w:eastAsia="宋体" w:cs="Times New Roman"/>
                <w:color w:val="000000" w:themeColor="text1"/>
                <w:szCs w:val="21"/>
                <w:highlight w:val="none"/>
              </w:rPr>
              <w:t>，向招标机构缴纳招标代理服务费。</w:t>
            </w:r>
          </w:p>
          <w:p>
            <w:pPr>
              <w:tabs>
                <w:tab w:val="left" w:pos="1050"/>
                <w:tab w:val="left" w:pos="1470"/>
              </w:tabs>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招标代理服务费收费标准</w:t>
            </w:r>
          </w:p>
          <w:tbl>
            <w:tblPr>
              <w:tblStyle w:val="55"/>
              <w:tblW w:w="6583" w:type="dxa"/>
              <w:jc w:val="center"/>
              <w:tblInd w:w="0" w:type="dxa"/>
              <w:tblLayout w:type="fixed"/>
              <w:tblCellMar>
                <w:top w:w="0" w:type="dxa"/>
                <w:left w:w="108" w:type="dxa"/>
                <w:bottom w:w="0" w:type="dxa"/>
                <w:right w:w="108" w:type="dxa"/>
              </w:tblCellMar>
            </w:tblPr>
            <w:tblGrid>
              <w:gridCol w:w="3503"/>
              <w:gridCol w:w="3080"/>
            </w:tblGrid>
            <w:tr>
              <w:tblPrEx>
                <w:tblLayout w:type="fixed"/>
                <w:tblCellMar>
                  <w:top w:w="0" w:type="dxa"/>
                  <w:left w:w="108" w:type="dxa"/>
                  <w:bottom w:w="0" w:type="dxa"/>
                  <w:right w:w="108" w:type="dxa"/>
                </w:tblCellMar>
              </w:tblPrEx>
              <w:trPr>
                <w:trHeight w:val="34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中标</w:t>
                  </w:r>
                  <w:r>
                    <w:rPr>
                      <w:rFonts w:hint="eastAsia" w:ascii="Times New Roman" w:hAnsi="Times New Roman" w:eastAsia="宋体" w:cs="Times New Roman"/>
                      <w:color w:val="000000" w:themeColor="text1"/>
                      <w:szCs w:val="21"/>
                      <w:highlight w:val="none"/>
                    </w:rPr>
                    <w:t>金额</w:t>
                  </w:r>
                </w:p>
              </w:tc>
              <w:tc>
                <w:tcPr>
                  <w:tcW w:w="308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招标类型</w:t>
                  </w:r>
                </w:p>
              </w:tc>
            </w:tr>
            <w:tr>
              <w:tblPrEx>
                <w:tblLayout w:type="fixed"/>
                <w:tblCellMar>
                  <w:top w:w="0" w:type="dxa"/>
                  <w:left w:w="108" w:type="dxa"/>
                  <w:bottom w:w="0" w:type="dxa"/>
                  <w:right w:w="108" w:type="dxa"/>
                </w:tblCellMar>
              </w:tblPrEx>
              <w:trPr>
                <w:trHeight w:val="360"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（万元）</w:t>
                  </w:r>
                </w:p>
              </w:tc>
              <w:tc>
                <w:tcPr>
                  <w:tcW w:w="308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服务招标</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100以下</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1.5%</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100-500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0.8%*</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500-1000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0.45%*</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r>
              <w:tblPrEx>
                <w:tblLayout w:type="fixed"/>
                <w:tblCellMar>
                  <w:top w:w="0" w:type="dxa"/>
                  <w:left w:w="108" w:type="dxa"/>
                  <w:bottom w:w="0" w:type="dxa"/>
                  <w:right w:w="108" w:type="dxa"/>
                </w:tblCellMar>
              </w:tblPrEx>
              <w:trPr>
                <w:trHeight w:val="454" w:hRule="atLeast"/>
                <w:jc w:val="center"/>
              </w:trPr>
              <w:tc>
                <w:tcPr>
                  <w:tcW w:w="350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1000-5000</w:t>
                  </w:r>
                </w:p>
              </w:tc>
              <w:tc>
                <w:tcPr>
                  <w:tcW w:w="3080" w:type="dxa"/>
                  <w:tcBorders>
                    <w:top w:val="single" w:color="000000" w:sz="4" w:space="0"/>
                    <w:left w:val="nil"/>
                    <w:bottom w:val="single" w:color="000000" w:sz="4" w:space="0"/>
                    <w:right w:val="single" w:color="000000" w:sz="4" w:space="0"/>
                  </w:tcBorders>
                  <w:vAlign w:val="center"/>
                </w:tcPr>
                <w:p>
                  <w:pPr>
                    <w:rPr>
                      <w:rFonts w:ascii="Times New Roman" w:hAnsi="Times New Roman" w:eastAsia="宋体" w:cs="Times New Roman"/>
                      <w:bCs/>
                      <w:color w:val="000000" w:themeColor="text1"/>
                      <w:szCs w:val="21"/>
                      <w:highlight w:val="none"/>
                    </w:rPr>
                  </w:pPr>
                  <w:r>
                    <w:rPr>
                      <w:rFonts w:ascii="Times New Roman" w:hAnsi="Times New Roman" w:eastAsia="宋体" w:cs="Times New Roman"/>
                      <w:color w:val="000000" w:themeColor="text1"/>
                      <w:szCs w:val="21"/>
                      <w:highlight w:val="none"/>
                    </w:rPr>
                    <w:t>0.25%*</w:t>
                  </w:r>
                  <w:r>
                    <w:rPr>
                      <w:rFonts w:hint="eastAsia" w:ascii="Times New Roman" w:hAnsi="Times New Roman" w:eastAsia="宋体" w:cs="Times New Roman"/>
                      <w:color w:val="000000" w:themeColor="text1"/>
                      <w:szCs w:val="21"/>
                      <w:highlight w:val="none"/>
                    </w:rPr>
                    <w:t>80</w:t>
                  </w:r>
                  <w:r>
                    <w:rPr>
                      <w:rFonts w:ascii="Times New Roman" w:hAnsi="Times New Roman" w:eastAsia="宋体" w:cs="Times New Roman"/>
                      <w:color w:val="000000" w:themeColor="text1"/>
                      <w:szCs w:val="21"/>
                      <w:highlight w:val="none"/>
                    </w:rPr>
                    <w:t>%</w:t>
                  </w:r>
                </w:p>
              </w:tc>
            </w:tr>
          </w:tbl>
          <w:p>
            <w:pPr>
              <w:tabs>
                <w:tab w:val="left" w:pos="1050"/>
                <w:tab w:val="left" w:pos="1470"/>
              </w:tabs>
              <w:adjustRightInd w:val="0"/>
              <w:snapToGrid w:val="0"/>
              <w:spacing w:line="400" w:lineRule="atLeast"/>
              <w:ind w:firstLine="420" w:firstLineChars="20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注:招标代理服务费收费按差额定率累进法计算。</w:t>
            </w:r>
          </w:p>
          <w:p>
            <w:pPr>
              <w:tabs>
                <w:tab w:val="left" w:pos="1050"/>
                <w:tab w:val="left" w:pos="1470"/>
              </w:tabs>
              <w:adjustRightInd w:val="0"/>
              <w:snapToGrid w:val="0"/>
              <w:spacing w:line="400" w:lineRule="atLeast"/>
              <w:ind w:firstLine="420" w:firstLineChars="200"/>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分包二，</w:t>
            </w:r>
            <w:r>
              <w:rPr>
                <w:rFonts w:ascii="Times New Roman" w:hAnsi="Times New Roman" w:eastAsia="宋体" w:cs="Times New Roman"/>
                <w:color w:val="000000" w:themeColor="text1"/>
                <w:szCs w:val="21"/>
                <w:highlight w:val="none"/>
              </w:rPr>
              <w:t>按</w:t>
            </w:r>
            <w:r>
              <w:rPr>
                <w:rFonts w:hint="eastAsia" w:ascii="Times New Roman" w:hAnsi="Times New Roman" w:eastAsia="宋体" w:cs="Times New Roman"/>
                <w:color w:val="000000" w:themeColor="text1"/>
                <w:szCs w:val="21"/>
                <w:highlight w:val="none"/>
              </w:rPr>
              <w:t>定额1.5万元收取</w:t>
            </w:r>
            <w:r>
              <w:rPr>
                <w:rFonts w:ascii="Times New Roman" w:hAnsi="Times New Roman" w:eastAsia="宋体" w:cs="Times New Roman"/>
                <w:color w:val="000000" w:themeColor="text1"/>
                <w:szCs w:val="21"/>
                <w:highlight w:val="none"/>
              </w:rPr>
              <w:t>。</w:t>
            </w:r>
          </w:p>
          <w:p>
            <w:pPr>
              <w:tabs>
                <w:tab w:val="left" w:pos="1050"/>
                <w:tab w:val="left" w:pos="1470"/>
              </w:tabs>
              <w:adjustRightInd w:val="0"/>
              <w:snapToGrid w:val="0"/>
              <w:spacing w:line="400" w:lineRule="atLeast"/>
              <w:rPr>
                <w:rFonts w:ascii="Times New Roman" w:hAnsi="Times New Roman" w:eastAsia="宋体" w:cs="Times New Roman"/>
                <w:color w:val="000000" w:themeColor="text1"/>
                <w:szCs w:val="21"/>
                <w:highlight w:val="none"/>
              </w:rPr>
            </w:pPr>
          </w:p>
          <w:p>
            <w:pPr>
              <w:tabs>
                <w:tab w:val="left" w:pos="1050"/>
                <w:tab w:val="left" w:pos="1470"/>
              </w:tabs>
              <w:adjustRightInd w:val="0"/>
              <w:snapToGrid w:val="0"/>
              <w:spacing w:line="400" w:lineRule="atLeas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（二）</w:t>
            </w:r>
            <w:r>
              <w:rPr>
                <w:rFonts w:ascii="Times New Roman" w:hAnsi="Times New Roman" w:eastAsia="宋体" w:cs="Times New Roman"/>
                <w:color w:val="000000" w:themeColor="text1"/>
                <w:szCs w:val="21"/>
                <w:highlight w:val="none"/>
              </w:rPr>
              <w:t>招标代理服务费收费</w:t>
            </w:r>
            <w:r>
              <w:rPr>
                <w:rFonts w:hint="eastAsia" w:ascii="Times New Roman" w:hAnsi="Times New Roman" w:eastAsia="宋体" w:cs="Times New Roman"/>
                <w:color w:val="000000" w:themeColor="text1"/>
                <w:szCs w:val="21"/>
                <w:highlight w:val="none"/>
              </w:rPr>
              <w:t>方式：</w:t>
            </w:r>
          </w:p>
          <w:p>
            <w:pPr>
              <w:tabs>
                <w:tab w:val="left" w:pos="1050"/>
                <w:tab w:val="left" w:pos="1470"/>
              </w:tabs>
              <w:adjustRightInd w:val="0"/>
              <w:snapToGrid w:val="0"/>
              <w:spacing w:line="400" w:lineRule="atLeast"/>
              <w:ind w:firstLine="420" w:firstLineChars="20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1、招标代理服务费支付：按招标文件约定，由中标人支付。</w:t>
            </w:r>
          </w:p>
          <w:p>
            <w:pPr>
              <w:ind w:firstLine="420" w:firstLineChars="20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2、招标代理服务费支付时间：中标人在领取中标通知书时，向</w:t>
            </w:r>
            <w:r>
              <w:rPr>
                <w:rFonts w:hint="eastAsia" w:ascii="Times New Roman" w:hAnsi="Times New Roman" w:eastAsia="宋体" w:cs="Times New Roman"/>
                <w:color w:val="000000" w:themeColor="text1"/>
                <w:szCs w:val="21"/>
                <w:highlight w:val="none"/>
              </w:rPr>
              <w:t>代理</w:t>
            </w:r>
            <w:r>
              <w:rPr>
                <w:rFonts w:ascii="Times New Roman" w:hAnsi="Times New Roman" w:eastAsia="宋体" w:cs="Times New Roman"/>
                <w:color w:val="000000" w:themeColor="text1"/>
                <w:szCs w:val="21"/>
                <w:highlight w:val="none"/>
              </w:rPr>
              <w:t>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052"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31</w:t>
            </w:r>
          </w:p>
        </w:tc>
        <w:tc>
          <w:tcPr>
            <w:tcW w:w="8817" w:type="dxa"/>
            <w:gridSpan w:val="2"/>
            <w:vAlign w:val="center"/>
          </w:tcPr>
          <w:p>
            <w:pPr>
              <w:ind w:firstLine="420" w:firstLineChars="20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招标文件每套售价500元（递交投标文件时支付招标文件的费用），售后不退。未购买招标文件的投标人，招标人和代理机构将不予接受其投标文件。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869" w:type="dxa"/>
            <w:gridSpan w:val="3"/>
            <w:vAlign w:val="center"/>
          </w:tcPr>
          <w:p>
            <w:pPr>
              <w:ind w:firstLine="361"/>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十二、其他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2</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b/>
                <w:color w:val="000000" w:themeColor="text1"/>
                <w:szCs w:val="21"/>
                <w:highlight w:val="none"/>
              </w:rPr>
              <w:t>开标</w:t>
            </w:r>
            <w:r>
              <w:rPr>
                <w:rFonts w:hint="eastAsia" w:ascii="Times New Roman" w:hAnsi="Times New Roman" w:eastAsia="宋体" w:cs="Times New Roman"/>
                <w:b/>
                <w:color w:val="000000" w:themeColor="text1"/>
                <w:szCs w:val="21"/>
                <w:highlight w:val="none"/>
              </w:rPr>
              <w:t>评标过程</w:t>
            </w:r>
            <w:r>
              <w:rPr>
                <w:rFonts w:ascii="Times New Roman" w:hAnsi="Times New Roman" w:eastAsia="宋体" w:cs="Times New Roman"/>
                <w:b/>
                <w:color w:val="000000" w:themeColor="text1"/>
                <w:szCs w:val="21"/>
                <w:highlight w:val="none"/>
              </w:rPr>
              <w:t>，请投标人携带</w:t>
            </w:r>
            <w:r>
              <w:rPr>
                <w:rFonts w:hint="eastAsia" w:ascii="Times New Roman" w:hAnsi="Times New Roman" w:eastAsia="宋体" w:cs="Times New Roman"/>
                <w:b/>
                <w:color w:val="000000" w:themeColor="text1"/>
                <w:szCs w:val="21"/>
                <w:highlight w:val="none"/>
              </w:rPr>
              <w:t>招标</w:t>
            </w:r>
            <w:r>
              <w:rPr>
                <w:rFonts w:ascii="Times New Roman" w:hAnsi="Times New Roman" w:eastAsia="宋体" w:cs="Times New Roman"/>
                <w:b/>
                <w:color w:val="000000" w:themeColor="text1"/>
                <w:szCs w:val="21"/>
                <w:highlight w:val="none"/>
              </w:rPr>
              <w:t>文件中</w:t>
            </w:r>
            <w:r>
              <w:rPr>
                <w:rFonts w:hint="eastAsia" w:ascii="Times New Roman" w:hAnsi="Times New Roman" w:eastAsia="宋体" w:cs="Times New Roman"/>
                <w:b/>
                <w:color w:val="000000" w:themeColor="text1"/>
                <w:szCs w:val="21"/>
                <w:highlight w:val="none"/>
              </w:rPr>
              <w:t>所要求的</w:t>
            </w:r>
            <w:r>
              <w:rPr>
                <w:rFonts w:ascii="Times New Roman" w:hAnsi="Times New Roman" w:eastAsia="宋体" w:cs="Times New Roman"/>
                <w:b/>
                <w:color w:val="000000" w:themeColor="text1"/>
                <w:szCs w:val="21"/>
                <w:highlight w:val="none"/>
              </w:rPr>
              <w:t>各项证明资料原件，以备查验。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3</w:t>
            </w:r>
          </w:p>
        </w:tc>
        <w:tc>
          <w:tcPr>
            <w:tcW w:w="8817" w:type="dxa"/>
            <w:gridSpan w:val="2"/>
            <w:vAlign w:val="center"/>
          </w:tcPr>
          <w:p>
            <w:pP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投标人应保证投标文件中的相关证明资料清晰可辨，否则由此引起的后果由投标人自负。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4</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本招标文件中提及产品品牌（如有），均为供投标人投标参考，非指定产品品牌。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w:t>
            </w:r>
            <w:r>
              <w:rPr>
                <w:rFonts w:hint="eastAsia" w:ascii="Times New Roman" w:hAnsi="Times New Roman" w:eastAsia="宋体" w:cs="Times New Roman"/>
                <w:color w:val="000000" w:themeColor="text1"/>
                <w:szCs w:val="21"/>
                <w:highlight w:val="none"/>
              </w:rPr>
              <w:t>5</w:t>
            </w:r>
          </w:p>
        </w:tc>
        <w:tc>
          <w:tcPr>
            <w:tcW w:w="8817" w:type="dxa"/>
            <w:gridSpan w:val="2"/>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第五章项目需求里出现的</w:t>
            </w:r>
            <w:r>
              <w:rPr>
                <w:rFonts w:hint="eastAsia" w:ascii="Times New Roman" w:hAnsi="Times New Roman" w:eastAsia="宋体" w:cs="Times New Roman"/>
                <w:color w:val="000000" w:themeColor="text1"/>
                <w:szCs w:val="21"/>
                <w:highlight w:val="none"/>
              </w:rPr>
              <w:t>“供应商”、</w:t>
            </w:r>
            <w:r>
              <w:rPr>
                <w:rFonts w:ascii="Times New Roman" w:hAnsi="Times New Roman" w:eastAsia="宋体" w:cs="Times New Roman"/>
                <w:color w:val="000000" w:themeColor="text1"/>
                <w:szCs w:val="21"/>
                <w:highlight w:val="none"/>
              </w:rPr>
              <w:t>“外包商”</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“外包投标人”</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“乙方”</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在招标阶段均表示“投标人”。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52" w:type="dxa"/>
            <w:vAlign w:val="center"/>
          </w:tcPr>
          <w:p>
            <w:pP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36</w:t>
            </w:r>
          </w:p>
        </w:tc>
        <w:tc>
          <w:tcPr>
            <w:tcW w:w="8817" w:type="dxa"/>
            <w:gridSpan w:val="2"/>
            <w:vAlign w:val="center"/>
          </w:tcPr>
          <w:p>
            <w:pPr>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b/>
                <w:color w:val="000000" w:themeColor="text1"/>
                <w:szCs w:val="21"/>
                <w:highlight w:val="none"/>
              </w:rPr>
              <w:t>本招标文件中要求加盖单位公章的表述，均指加盖该单位的法定名称章（非投标专用章等）且为鲜公章。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69" w:type="dxa"/>
            <w:gridSpan w:val="3"/>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若</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投标人须知前附表</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与正文不一致的，以前附表为准。</w:t>
            </w:r>
          </w:p>
        </w:tc>
      </w:tr>
    </w:tbl>
    <w:p>
      <w:pPr>
        <w:adjustRightInd w:val="0"/>
        <w:snapToGrid w:val="0"/>
        <w:spacing w:line="500" w:lineRule="atLeast"/>
        <w:jc w:val="center"/>
        <w:rPr>
          <w:rFonts w:ascii="Times New Roman" w:hAnsi="Times New Roman" w:eastAsia="宋体" w:cs="Times New Roman"/>
          <w:color w:val="000000" w:themeColor="text1"/>
          <w:sz w:val="24"/>
          <w:szCs w:val="24"/>
          <w:highlight w:val="none"/>
        </w:rPr>
        <w:sectPr>
          <w:pgSz w:w="11906" w:h="16838"/>
          <w:pgMar w:top="1440" w:right="1466" w:bottom="1276" w:left="1800" w:header="851" w:footer="992" w:gutter="0"/>
          <w:cols w:space="720" w:num="1"/>
          <w:docGrid w:type="linesAndChars" w:linePitch="312" w:charSpace="0"/>
        </w:sectPr>
      </w:pPr>
    </w:p>
    <w:p>
      <w:pPr>
        <w:keepNext/>
        <w:keepLines/>
        <w:numPr>
          <w:ilvl w:val="1"/>
          <w:numId w:val="0"/>
        </w:numPr>
        <w:tabs>
          <w:tab w:val="left" w:pos="708"/>
        </w:tabs>
        <w:snapToGrid w:val="0"/>
        <w:spacing w:before="156" w:after="156" w:line="400" w:lineRule="atLeast"/>
        <w:jc w:val="center"/>
        <w:outlineLvl w:val="1"/>
        <w:rPr>
          <w:rFonts w:ascii="Times New Roman" w:hAnsi="Times New Roman" w:eastAsia="宋体" w:cs="Times New Roman"/>
          <w:b/>
          <w:bCs/>
          <w:color w:val="000000" w:themeColor="text1"/>
          <w:kern w:val="0"/>
          <w:sz w:val="30"/>
          <w:szCs w:val="30"/>
          <w:highlight w:val="none"/>
        </w:rPr>
      </w:pPr>
      <w:bookmarkStart w:id="5" w:name="_Toc345936711"/>
      <w:bookmarkStart w:id="6" w:name="_Toc380414613"/>
      <w:bookmarkStart w:id="7" w:name="_Toc32653"/>
      <w:bookmarkStart w:id="8" w:name="_Toc344406117"/>
      <w:bookmarkStart w:id="9" w:name="_Toc345343633"/>
      <w:bookmarkStart w:id="10" w:name="_Toc317837577"/>
      <w:bookmarkStart w:id="11" w:name="_Toc317551042"/>
      <w:r>
        <w:rPr>
          <w:rFonts w:ascii="Times New Roman" w:hAnsi="Times New Roman" w:eastAsia="宋体" w:cs="Times New Roman"/>
          <w:b/>
          <w:bCs/>
          <w:color w:val="000000" w:themeColor="text1"/>
          <w:kern w:val="0"/>
          <w:sz w:val="30"/>
          <w:szCs w:val="30"/>
          <w:highlight w:val="none"/>
        </w:rPr>
        <w:t>第二节投标人须知</w:t>
      </w:r>
      <w:bookmarkEnd w:id="5"/>
      <w:bookmarkEnd w:id="6"/>
      <w:bookmarkEnd w:id="7"/>
    </w:p>
    <w:p>
      <w:pPr>
        <w:rPr>
          <w:rFonts w:ascii="Times New Roman" w:hAnsi="Times New Roman" w:eastAsia="宋体" w:cs="Times New Roman"/>
          <w:color w:val="000000" w:themeColor="text1"/>
          <w:highlight w:val="none"/>
        </w:rPr>
      </w:pPr>
    </w:p>
    <w:bookmarkEnd w:id="8"/>
    <w:bookmarkEnd w:id="9"/>
    <w:bookmarkEnd w:id="10"/>
    <w:bookmarkEnd w:id="11"/>
    <w:p>
      <w:pPr>
        <w:jc w:val="center"/>
        <w:rPr>
          <w:rFonts w:ascii="Times New Roman" w:hAnsi="Times New Roman" w:eastAsia="宋体" w:cs="Times New Roman"/>
          <w:b/>
          <w:color w:val="000000" w:themeColor="text1"/>
          <w:sz w:val="28"/>
          <w:szCs w:val="32"/>
          <w:highlight w:val="none"/>
        </w:rPr>
      </w:pPr>
      <w:r>
        <w:rPr>
          <w:rFonts w:hint="eastAsia" w:ascii="Times New Roman" w:hAnsi="Times New Roman" w:eastAsia="宋体" w:cs="Times New Roman"/>
          <w:b/>
          <w:color w:val="000000" w:themeColor="text1"/>
          <w:sz w:val="28"/>
          <w:szCs w:val="32"/>
          <w:highlight w:val="none"/>
        </w:rPr>
        <w:t>一</w:t>
      </w:r>
      <w:r>
        <w:rPr>
          <w:rFonts w:ascii="Times New Roman" w:hAnsi="Times New Roman" w:eastAsia="宋体" w:cs="Times New Roman"/>
          <w:b/>
          <w:color w:val="000000" w:themeColor="text1"/>
          <w:sz w:val="28"/>
          <w:szCs w:val="32"/>
          <w:highlight w:val="none"/>
        </w:rPr>
        <w:t>、说明</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1．招标项目相关情况说明</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1.1招标人：详见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1.2招标代理机构（以下简称招标机构）：详见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1.3.项目名称、项目地点：详见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1.4资金来源及出资比例：详见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w:t>
      </w:r>
      <w:r>
        <w:rPr>
          <w:rFonts w:hint="eastAsia" w:ascii="Times New Roman" w:hAnsi="Times New Roman" w:eastAsia="宋体" w:cs="Times New Roman"/>
          <w:color w:val="000000" w:themeColor="text1"/>
          <w:sz w:val="24"/>
          <w:szCs w:val="24"/>
          <w:highlight w:val="none"/>
        </w:rPr>
        <w:t>服务内容、货物规格型号及数量</w:t>
      </w:r>
      <w:r>
        <w:rPr>
          <w:rFonts w:ascii="Times New Roman" w:hAnsi="Times New Roman" w:eastAsia="宋体" w:cs="Times New Roman"/>
          <w:color w:val="000000" w:themeColor="text1"/>
          <w:sz w:val="24"/>
          <w:szCs w:val="24"/>
          <w:highlight w:val="none"/>
        </w:rPr>
        <w:t>：详见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w:t>
      </w:r>
      <w:r>
        <w:rPr>
          <w:rFonts w:hint="eastAsia" w:ascii="Times New Roman" w:hAnsi="Times New Roman" w:eastAsia="宋体" w:cs="Times New Roman"/>
          <w:color w:val="000000" w:themeColor="text1"/>
          <w:sz w:val="24"/>
          <w:szCs w:val="24"/>
          <w:highlight w:val="none"/>
        </w:rPr>
        <w:t>服务期限、供货时间</w:t>
      </w:r>
      <w:r>
        <w:rPr>
          <w:rFonts w:ascii="Times New Roman" w:hAnsi="Times New Roman" w:eastAsia="宋体" w:cs="Times New Roman"/>
          <w:color w:val="000000" w:themeColor="text1"/>
          <w:sz w:val="24"/>
          <w:szCs w:val="24"/>
          <w:highlight w:val="none"/>
        </w:rPr>
        <w:t>：详见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1.7付款方式：详见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jc w:val="center"/>
        <w:rPr>
          <w:rFonts w:ascii="Times New Roman" w:hAnsi="Times New Roman" w:eastAsia="宋体" w:cs="Times New Roman"/>
          <w:b/>
          <w:color w:val="000000" w:themeColor="text1"/>
          <w:sz w:val="28"/>
          <w:szCs w:val="32"/>
          <w:highlight w:val="none"/>
        </w:rPr>
      </w:pPr>
      <w:bookmarkStart w:id="12" w:name="_Toc370978585"/>
      <w:bookmarkStart w:id="13" w:name="_Toc370738915"/>
      <w:bookmarkStart w:id="14" w:name="_Toc356889595"/>
      <w:r>
        <w:rPr>
          <w:rFonts w:hint="eastAsia" w:ascii="Times New Roman" w:hAnsi="Times New Roman" w:eastAsia="宋体" w:cs="Times New Roman"/>
          <w:b/>
          <w:color w:val="000000" w:themeColor="text1"/>
          <w:sz w:val="28"/>
          <w:szCs w:val="32"/>
          <w:highlight w:val="none"/>
        </w:rPr>
        <w:t>二</w:t>
      </w:r>
      <w:r>
        <w:rPr>
          <w:rFonts w:ascii="Times New Roman" w:hAnsi="Times New Roman" w:eastAsia="宋体" w:cs="Times New Roman"/>
          <w:b/>
          <w:color w:val="000000" w:themeColor="text1"/>
          <w:sz w:val="28"/>
          <w:szCs w:val="32"/>
          <w:highlight w:val="none"/>
        </w:rPr>
        <w:t>、投标人</w:t>
      </w:r>
      <w:bookmarkEnd w:id="12"/>
      <w:bookmarkEnd w:id="13"/>
      <w:bookmarkEnd w:id="14"/>
    </w:p>
    <w:p>
      <w:pPr>
        <w:spacing w:line="360" w:lineRule="auto"/>
        <w:rPr>
          <w:rFonts w:ascii="Times New Roman" w:hAnsi="Times New Roman" w:eastAsia="宋体" w:cs="Times New Roman"/>
          <w:b/>
          <w:color w:val="000000" w:themeColor="text1"/>
          <w:sz w:val="28"/>
          <w:szCs w:val="24"/>
          <w:highlight w:val="none"/>
        </w:rPr>
      </w:pPr>
      <w:bookmarkStart w:id="15" w:name="_Toc370978586"/>
      <w:bookmarkStart w:id="16" w:name="_Toc370738916"/>
      <w:bookmarkStart w:id="17" w:name="_Toc356889596"/>
      <w:r>
        <w:rPr>
          <w:rFonts w:ascii="Times New Roman" w:hAnsi="Times New Roman" w:eastAsia="宋体" w:cs="Times New Roman"/>
          <w:b/>
          <w:color w:val="000000" w:themeColor="text1"/>
          <w:sz w:val="28"/>
          <w:szCs w:val="24"/>
          <w:highlight w:val="none"/>
        </w:rPr>
        <w:t>2.投标人资格及要求</w:t>
      </w:r>
      <w:bookmarkEnd w:id="15"/>
      <w:bookmarkEnd w:id="16"/>
      <w:bookmarkEnd w:id="1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2.1投标人应遵守《中华人民共和国招标投标法》、《中华人民共和国招标投标法实施条例》及国家和地方有关的法律、法规。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2.2有下列情形之一的潜在投标人，不得参与投标：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2.2.1与招标人存在利害关系可能影响招标公正性的法人、其他组织或者个人，不得参加投标。单位负责人为同一人或者存在控股、管理关系的不同单位，不得参加同一分包或者未划分包的同一招标项目投标；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2.2.2与招标人或招标代理机构有控股关系；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2.2.3被有关行政部门暂停投标资格期限未满的。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2.3对投标人的其它资格要求：详见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2.4投标人须知前附表规定接受联合体投标的，除应符合</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第2.6条的要求外，还应遵守以下规定：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（1）联合体各方应提供联合体协议书，明确联合体牵头人和各方权利义务；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（2）由同一专业的投标人组成的联合体，按照资质等级较低的投标人确定资质等级；</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（3）联合体各方不得再以自己名义单独投标或参加其他联合体在同一分包中投标。</w:t>
      </w:r>
    </w:p>
    <w:p>
      <w:pPr>
        <w:spacing w:line="360" w:lineRule="auto"/>
        <w:rPr>
          <w:rFonts w:ascii="Times New Roman" w:hAnsi="Times New Roman" w:eastAsia="宋体" w:cs="Times New Roman"/>
          <w:b/>
          <w:color w:val="000000" w:themeColor="text1"/>
          <w:sz w:val="28"/>
          <w:szCs w:val="24"/>
          <w:highlight w:val="none"/>
        </w:rPr>
      </w:pPr>
      <w:bookmarkStart w:id="18" w:name="_Toc370978587"/>
      <w:bookmarkStart w:id="19" w:name="_Toc370738917"/>
      <w:bookmarkStart w:id="20" w:name="_Toc356889597"/>
      <w:r>
        <w:rPr>
          <w:rFonts w:ascii="Times New Roman" w:hAnsi="Times New Roman" w:eastAsia="宋体" w:cs="Times New Roman"/>
          <w:b/>
          <w:color w:val="000000" w:themeColor="text1"/>
          <w:sz w:val="28"/>
          <w:szCs w:val="24"/>
          <w:highlight w:val="none"/>
        </w:rPr>
        <w:t>3.投标费用</w:t>
      </w:r>
      <w:bookmarkEnd w:id="18"/>
      <w:bookmarkEnd w:id="19"/>
      <w:bookmarkEnd w:id="2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3.1投标人应自行承担所有参加投标的全部费用。不论投标的结果如何，招标人或招标机构均无义务或责任承担这些费用。</w:t>
      </w:r>
    </w:p>
    <w:p>
      <w:pPr>
        <w:jc w:val="center"/>
        <w:rPr>
          <w:rFonts w:ascii="Times New Roman" w:hAnsi="Times New Roman" w:eastAsia="宋体" w:cs="Times New Roman"/>
          <w:b/>
          <w:color w:val="000000" w:themeColor="text1"/>
          <w:sz w:val="28"/>
          <w:szCs w:val="32"/>
          <w:highlight w:val="none"/>
        </w:rPr>
      </w:pPr>
      <w:bookmarkStart w:id="21" w:name="_Toc356889598"/>
      <w:bookmarkStart w:id="22" w:name="_Toc370978588"/>
      <w:bookmarkStart w:id="23" w:name="_Toc370738918"/>
      <w:r>
        <w:rPr>
          <w:rFonts w:hint="eastAsia" w:ascii="Times New Roman" w:hAnsi="Times New Roman" w:eastAsia="宋体" w:cs="Times New Roman"/>
          <w:b/>
          <w:color w:val="000000" w:themeColor="text1"/>
          <w:sz w:val="28"/>
          <w:szCs w:val="32"/>
          <w:highlight w:val="none"/>
        </w:rPr>
        <w:t>三</w:t>
      </w:r>
      <w:r>
        <w:rPr>
          <w:rFonts w:ascii="Times New Roman" w:hAnsi="Times New Roman" w:eastAsia="宋体" w:cs="Times New Roman"/>
          <w:b/>
          <w:color w:val="000000" w:themeColor="text1"/>
          <w:sz w:val="28"/>
          <w:szCs w:val="32"/>
          <w:highlight w:val="none"/>
        </w:rPr>
        <w:t>、招标文件</w:t>
      </w:r>
      <w:bookmarkEnd w:id="21"/>
      <w:bookmarkEnd w:id="22"/>
      <w:bookmarkEnd w:id="23"/>
    </w:p>
    <w:p>
      <w:pPr>
        <w:spacing w:line="360" w:lineRule="auto"/>
        <w:rPr>
          <w:rFonts w:ascii="Times New Roman" w:hAnsi="Times New Roman" w:eastAsia="宋体" w:cs="Times New Roman"/>
          <w:b/>
          <w:color w:val="000000" w:themeColor="text1"/>
          <w:sz w:val="28"/>
          <w:szCs w:val="24"/>
          <w:highlight w:val="none"/>
        </w:rPr>
      </w:pPr>
      <w:bookmarkStart w:id="24" w:name="_Toc370738919"/>
      <w:bookmarkStart w:id="25" w:name="_Toc356889599"/>
      <w:bookmarkStart w:id="26" w:name="_Toc370978589"/>
      <w:r>
        <w:rPr>
          <w:rFonts w:ascii="Times New Roman" w:hAnsi="Times New Roman" w:eastAsia="宋体" w:cs="Times New Roman"/>
          <w:b/>
          <w:color w:val="000000" w:themeColor="text1"/>
          <w:sz w:val="28"/>
          <w:szCs w:val="24"/>
          <w:highlight w:val="none"/>
        </w:rPr>
        <w:t>4.招标文件</w:t>
      </w:r>
      <w:bookmarkEnd w:id="24"/>
      <w:bookmarkEnd w:id="25"/>
      <w:bookmarkEnd w:id="2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4.1招标文件的组成：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（1）招标公告</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（3）投标人须知</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（4）评标方法前附表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（6）合同条款及格式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（7）项目需求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（8）投标文件格式</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（9）招标人对招标文件所作的答疑、补遗、澄清、修改。</w:t>
      </w:r>
    </w:p>
    <w:p>
      <w:pPr>
        <w:tabs>
          <w:tab w:val="left" w:pos="1050"/>
          <w:tab w:val="left" w:pos="1470"/>
        </w:tabs>
        <w:spacing w:line="360" w:lineRule="auto"/>
        <w:ind w:firstLine="480" w:firstLineChars="200"/>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sz w:val="24"/>
          <w:szCs w:val="24"/>
          <w:highlight w:val="none"/>
        </w:rPr>
        <w:t>4.2投标人应详细阅读招标文件的全部内容，须按招标文件的要求提供投标文件和相关资料。</w:t>
      </w:r>
    </w:p>
    <w:p>
      <w:pPr>
        <w:spacing w:line="360" w:lineRule="auto"/>
        <w:rPr>
          <w:rFonts w:ascii="Times New Roman" w:hAnsi="Times New Roman" w:eastAsia="宋体" w:cs="Times New Roman"/>
          <w:b/>
          <w:color w:val="000000" w:themeColor="text1"/>
          <w:sz w:val="28"/>
          <w:szCs w:val="24"/>
          <w:highlight w:val="none"/>
        </w:rPr>
      </w:pPr>
      <w:bookmarkStart w:id="27" w:name="_Toc370738920"/>
      <w:bookmarkStart w:id="28" w:name="_Toc356889600"/>
      <w:bookmarkStart w:id="29" w:name="_Toc370978590"/>
      <w:r>
        <w:rPr>
          <w:rFonts w:ascii="Times New Roman" w:hAnsi="Times New Roman" w:eastAsia="宋体" w:cs="Times New Roman"/>
          <w:b/>
          <w:color w:val="000000" w:themeColor="text1"/>
          <w:sz w:val="28"/>
          <w:szCs w:val="24"/>
          <w:highlight w:val="none"/>
        </w:rPr>
        <w:t>5.招标文件的质疑和澄清</w:t>
      </w:r>
      <w:bookmarkEnd w:id="27"/>
      <w:bookmarkEnd w:id="28"/>
      <w:bookmarkEnd w:id="29"/>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30" w:name="_Toc370978591"/>
      <w:bookmarkStart w:id="31" w:name="_Toc356889601"/>
      <w:bookmarkStart w:id="32" w:name="_Toc370738921"/>
      <w:r>
        <w:rPr>
          <w:rFonts w:ascii="Times New Roman" w:hAnsi="Times New Roman" w:eastAsia="宋体" w:cs="Times New Roman"/>
          <w:color w:val="000000" w:themeColor="text1"/>
          <w:sz w:val="24"/>
          <w:szCs w:val="24"/>
          <w:highlight w:val="none"/>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5.2任何要求对招标文件进行澄清的潜在投标人，均应</w:t>
      </w:r>
      <w:r>
        <w:rPr>
          <w:rFonts w:hint="eastAsia" w:ascii="Times New Roman" w:hAnsi="Times New Roman" w:eastAsia="宋体" w:cs="Times New Roman"/>
          <w:color w:val="000000" w:themeColor="text1"/>
          <w:sz w:val="24"/>
          <w:szCs w:val="24"/>
          <w:highlight w:val="none"/>
        </w:rPr>
        <w:t>按</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规定的时间</w:t>
      </w:r>
      <w:r>
        <w:rPr>
          <w:rFonts w:hint="eastAsia" w:ascii="Times New Roman" w:hAnsi="Times New Roman" w:eastAsia="宋体" w:cs="Times New Roman"/>
          <w:color w:val="000000" w:themeColor="text1"/>
          <w:sz w:val="24"/>
          <w:szCs w:val="24"/>
          <w:highlight w:val="none"/>
        </w:rPr>
        <w:t>和方式</w:t>
      </w:r>
      <w:r>
        <w:rPr>
          <w:rFonts w:ascii="Times New Roman" w:hAnsi="Times New Roman" w:eastAsia="宋体" w:cs="Times New Roman"/>
          <w:color w:val="000000" w:themeColor="text1"/>
          <w:sz w:val="24"/>
          <w:szCs w:val="24"/>
          <w:highlight w:val="none"/>
        </w:rPr>
        <w:t>提交需澄清的具体事项及问题，要求招标人对招标文件予以澄清或答复。</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5.3潜在投标人或者其它利害关系人对招标文件有异议的，应当在投标截止时间10日前提出。招标人应当自收到异议之日起3日内作出答复，并将答复内容以补遗的形式在</w:t>
      </w:r>
      <w:r>
        <w:rPr>
          <w:rFonts w:hint="eastAsia" w:ascii="Times New Roman" w:hAnsi="Times New Roman" w:eastAsia="宋体" w:cs="Times New Roman"/>
          <w:color w:val="000000" w:themeColor="text1"/>
          <w:sz w:val="24"/>
          <w:szCs w:val="24"/>
          <w:highlight w:val="none"/>
        </w:rPr>
        <w:t>重庆国际投资咨询集团网</w:t>
      </w:r>
      <w:r>
        <w:rPr>
          <w:rFonts w:ascii="Times New Roman" w:hAnsi="Times New Roman" w:eastAsia="宋体" w:cs="Times New Roman"/>
          <w:color w:val="000000" w:themeColor="text1"/>
          <w:sz w:val="24"/>
          <w:szCs w:val="24"/>
          <w:highlight w:val="none"/>
        </w:rPr>
        <w:t>上发布，补遗内容可能影响投标文件编制的，须在投标截止时间15日前发布，发布时间至投标截止时间不足15日的，须相应延后投标截止时间。</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5.4招标人对投标人所提质疑和澄清问题的回答内容将在</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规定的时间，在</w:t>
      </w:r>
      <w:r>
        <w:rPr>
          <w:rFonts w:hint="eastAsia" w:ascii="Times New Roman" w:hAnsi="Times New Roman" w:eastAsia="宋体" w:cs="Times New Roman"/>
          <w:color w:val="000000" w:themeColor="text1"/>
          <w:sz w:val="24"/>
          <w:szCs w:val="24"/>
          <w:highlight w:val="none"/>
        </w:rPr>
        <w:t>重庆国际投资咨询集团网上</w:t>
      </w:r>
      <w:r>
        <w:rPr>
          <w:rFonts w:ascii="Times New Roman" w:hAnsi="Times New Roman" w:eastAsia="宋体" w:cs="Times New Roman"/>
          <w:color w:val="000000" w:themeColor="text1"/>
          <w:sz w:val="24"/>
          <w:szCs w:val="24"/>
          <w:highlight w:val="none"/>
        </w:rPr>
        <w:t>发布，但不指明质疑和澄清问题的来源。如果招标人发出的澄清或者修改内容的时间距投标截止时间不足15日的，则应当顺延提交投标文件的截止时间和开标时间。</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6.招标文件的修改</w:t>
      </w:r>
      <w:bookmarkEnd w:id="30"/>
      <w:bookmarkEnd w:id="31"/>
      <w:bookmarkEnd w:id="32"/>
      <w:r>
        <w:rPr>
          <w:rFonts w:ascii="Times New Roman" w:hAnsi="Times New Roman" w:eastAsia="宋体" w:cs="Times New Roman"/>
          <w:b/>
          <w:color w:val="000000" w:themeColor="text1"/>
          <w:sz w:val="28"/>
          <w:szCs w:val="24"/>
          <w:highlight w:val="none"/>
        </w:rPr>
        <w:tab/>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招标人可以对已发出的招标文件进行必要的修改，修改内容将按</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规定的时间，在</w:t>
      </w:r>
      <w:r>
        <w:rPr>
          <w:rFonts w:hint="eastAsia" w:ascii="Times New Roman" w:hAnsi="Times New Roman" w:eastAsia="宋体" w:cs="Times New Roman"/>
          <w:color w:val="000000" w:themeColor="text1"/>
          <w:sz w:val="24"/>
          <w:szCs w:val="24"/>
          <w:highlight w:val="none"/>
        </w:rPr>
        <w:t>重庆国际投资咨询集团网</w:t>
      </w:r>
      <w:r>
        <w:rPr>
          <w:rFonts w:ascii="Times New Roman" w:hAnsi="Times New Roman" w:eastAsia="宋体" w:cs="Times New Roman"/>
          <w:color w:val="000000" w:themeColor="text1"/>
          <w:sz w:val="24"/>
          <w:szCs w:val="24"/>
          <w:highlight w:val="none"/>
        </w:rPr>
        <w:t>上发布；投标人应及时在网上查寻并自行下载招标人发出的通知、修改、答疑、补疑等重要内容。如果修改招标文件的时间距投标截止时间不足15日的，招标人应当顺延提交投标文件的截止时间和开标时间。</w:t>
      </w:r>
    </w:p>
    <w:p>
      <w:pPr>
        <w:jc w:val="center"/>
        <w:rPr>
          <w:rFonts w:ascii="Times New Roman" w:hAnsi="Times New Roman" w:eastAsia="宋体" w:cs="Times New Roman"/>
          <w:b/>
          <w:color w:val="000000" w:themeColor="text1"/>
          <w:sz w:val="28"/>
          <w:szCs w:val="32"/>
          <w:highlight w:val="none"/>
        </w:rPr>
      </w:pPr>
      <w:bookmarkStart w:id="33" w:name="_Toc356889602"/>
      <w:bookmarkStart w:id="34" w:name="_Toc370738922"/>
      <w:bookmarkStart w:id="35" w:name="_Toc370978592"/>
      <w:r>
        <w:rPr>
          <w:rFonts w:ascii="Times New Roman" w:hAnsi="Times New Roman" w:eastAsia="宋体" w:cs="Times New Roman"/>
          <w:b/>
          <w:color w:val="000000" w:themeColor="text1"/>
          <w:sz w:val="28"/>
          <w:szCs w:val="32"/>
          <w:highlight w:val="none"/>
        </w:rPr>
        <w:t>四、投标文件</w:t>
      </w:r>
      <w:bookmarkEnd w:id="33"/>
      <w:bookmarkEnd w:id="34"/>
      <w:bookmarkEnd w:id="35"/>
    </w:p>
    <w:p>
      <w:pPr>
        <w:spacing w:line="360" w:lineRule="auto"/>
        <w:rPr>
          <w:rFonts w:ascii="Times New Roman" w:hAnsi="Times New Roman" w:eastAsia="宋体" w:cs="Times New Roman"/>
          <w:b/>
          <w:color w:val="000000" w:themeColor="text1"/>
          <w:sz w:val="28"/>
          <w:szCs w:val="24"/>
          <w:highlight w:val="none"/>
        </w:rPr>
      </w:pPr>
      <w:bookmarkStart w:id="36" w:name="_Toc370738923"/>
      <w:bookmarkStart w:id="37" w:name="_Toc370978593"/>
      <w:bookmarkStart w:id="38" w:name="_Toc356889603"/>
      <w:r>
        <w:rPr>
          <w:rFonts w:ascii="Times New Roman" w:hAnsi="Times New Roman" w:eastAsia="宋体" w:cs="Times New Roman"/>
          <w:b/>
          <w:color w:val="000000" w:themeColor="text1"/>
          <w:sz w:val="28"/>
          <w:szCs w:val="24"/>
          <w:highlight w:val="none"/>
        </w:rPr>
        <w:t>7.投标文件计量单位</w:t>
      </w:r>
      <w:bookmarkEnd w:id="36"/>
      <w:bookmarkEnd w:id="37"/>
      <w:bookmarkEnd w:id="38"/>
    </w:p>
    <w:p>
      <w:pPr>
        <w:tabs>
          <w:tab w:val="left" w:pos="1050"/>
          <w:tab w:val="left" w:pos="1470"/>
        </w:tabs>
        <w:adjustRightInd w:val="0"/>
        <w:spacing w:line="360" w:lineRule="auto"/>
        <w:ind w:firstLine="480" w:firstLineChars="200"/>
        <w:rPr>
          <w:rFonts w:ascii="Times New Roman" w:hAnsi="Times New Roman" w:eastAsia="宋体" w:cs="Times New Roman"/>
          <w:color w:val="000000" w:themeColor="text1"/>
          <w:highlight w:val="none"/>
        </w:rPr>
      </w:pPr>
      <w:r>
        <w:rPr>
          <w:rFonts w:ascii="Times New Roman" w:hAnsi="Times New Roman" w:eastAsia="宋体" w:cs="Times New Roman"/>
          <w:color w:val="000000" w:themeColor="text1"/>
          <w:sz w:val="24"/>
          <w:szCs w:val="24"/>
          <w:highlight w:val="none"/>
        </w:rPr>
        <w:t>投标文件中所使用的计量单位，除招标文件中有特殊要求外，应采用国家法定计量单位。</w:t>
      </w:r>
    </w:p>
    <w:p>
      <w:pPr>
        <w:spacing w:line="360" w:lineRule="auto"/>
        <w:rPr>
          <w:rFonts w:ascii="Times New Roman" w:hAnsi="Times New Roman" w:eastAsia="宋体" w:cs="Times New Roman"/>
          <w:b/>
          <w:color w:val="000000" w:themeColor="text1"/>
          <w:sz w:val="28"/>
          <w:szCs w:val="24"/>
          <w:highlight w:val="none"/>
        </w:rPr>
      </w:pPr>
      <w:bookmarkStart w:id="39" w:name="_Toc370978594"/>
      <w:bookmarkStart w:id="40" w:name="_Toc370738924"/>
      <w:bookmarkStart w:id="41" w:name="_Toc356889604"/>
      <w:r>
        <w:rPr>
          <w:rFonts w:ascii="Times New Roman" w:hAnsi="Times New Roman" w:eastAsia="宋体" w:cs="Times New Roman"/>
          <w:b/>
          <w:color w:val="000000" w:themeColor="text1"/>
          <w:sz w:val="28"/>
          <w:szCs w:val="24"/>
          <w:highlight w:val="none"/>
        </w:rPr>
        <w:t>8.投标文件的组成</w:t>
      </w:r>
      <w:bookmarkEnd w:id="39"/>
      <w:bookmarkEnd w:id="40"/>
      <w:bookmarkEnd w:id="41"/>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42" w:name="_Toc370738925"/>
      <w:bookmarkStart w:id="43" w:name="_Toc356889605"/>
      <w:bookmarkStart w:id="44" w:name="_Toc370978595"/>
      <w:r>
        <w:rPr>
          <w:rFonts w:ascii="Times New Roman" w:hAnsi="Times New Roman" w:eastAsia="宋体" w:cs="Times New Roman"/>
          <w:color w:val="000000" w:themeColor="text1"/>
          <w:sz w:val="24"/>
          <w:szCs w:val="24"/>
          <w:highlight w:val="none"/>
        </w:rPr>
        <w:t>8.1 投标文件包括但不限于下列内容：</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（1）投标函</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（2）资格、技术、商务部分</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8.2 资格和业绩证明文件：</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要求。</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9.投标文件填写说明</w:t>
      </w:r>
      <w:bookmarkEnd w:id="42"/>
      <w:bookmarkEnd w:id="43"/>
      <w:bookmarkEnd w:id="4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9.1投标人应按照招标文件第六章投标文件格式完整地填写投标函等以及招标文件中规定的其它内容，然后装订成册。</w:t>
      </w:r>
    </w:p>
    <w:p>
      <w:pPr>
        <w:spacing w:line="360" w:lineRule="auto"/>
        <w:rPr>
          <w:rFonts w:ascii="Times New Roman" w:hAnsi="Times New Roman" w:eastAsia="宋体" w:cs="Times New Roman"/>
          <w:b/>
          <w:color w:val="000000" w:themeColor="text1"/>
          <w:sz w:val="28"/>
          <w:szCs w:val="24"/>
          <w:highlight w:val="none"/>
        </w:rPr>
      </w:pPr>
      <w:bookmarkStart w:id="45" w:name="_Toc356889606"/>
      <w:bookmarkStart w:id="46" w:name="_Toc370738926"/>
      <w:bookmarkStart w:id="47" w:name="_Toc370978596"/>
      <w:r>
        <w:rPr>
          <w:rFonts w:ascii="Times New Roman" w:hAnsi="Times New Roman" w:eastAsia="宋体" w:cs="Times New Roman"/>
          <w:b/>
          <w:color w:val="000000" w:themeColor="text1"/>
          <w:sz w:val="28"/>
          <w:szCs w:val="24"/>
          <w:highlight w:val="none"/>
        </w:rPr>
        <w:t>10.投标文件附件的编制</w:t>
      </w:r>
      <w:bookmarkEnd w:id="45"/>
      <w:bookmarkEnd w:id="46"/>
      <w:bookmarkEnd w:id="47"/>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10.1投标文件附件由投标人视需要自行编制。规格幅面应与正文一致，附于正文之后，与正文页码统一编目编码装订。</w:t>
      </w:r>
    </w:p>
    <w:p>
      <w:pPr>
        <w:spacing w:line="360" w:lineRule="auto"/>
        <w:rPr>
          <w:rFonts w:ascii="Times New Roman" w:hAnsi="Times New Roman" w:eastAsia="宋体" w:cs="Times New Roman"/>
          <w:b/>
          <w:color w:val="000000" w:themeColor="text1"/>
          <w:sz w:val="28"/>
          <w:szCs w:val="24"/>
          <w:highlight w:val="none"/>
        </w:rPr>
      </w:pPr>
      <w:bookmarkStart w:id="48" w:name="_Toc370738927"/>
      <w:bookmarkStart w:id="49" w:name="_Toc356889607"/>
      <w:bookmarkStart w:id="50" w:name="_Toc370978597"/>
      <w:r>
        <w:rPr>
          <w:rFonts w:ascii="Times New Roman" w:hAnsi="Times New Roman" w:eastAsia="宋体" w:cs="Times New Roman"/>
          <w:b/>
          <w:color w:val="000000" w:themeColor="text1"/>
          <w:sz w:val="28"/>
          <w:szCs w:val="24"/>
          <w:highlight w:val="none"/>
        </w:rPr>
        <w:t>11.投标报价</w:t>
      </w:r>
      <w:bookmarkEnd w:id="48"/>
      <w:bookmarkEnd w:id="49"/>
      <w:bookmarkEnd w:id="5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11.1币种为人民币。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11.2投标报价应包括投标人须知前附表规定的所有内容，投标人应按投标函的内容逐项填写，并由法定代表人或其授权代表签署并加盖单位公章。</w:t>
      </w:r>
    </w:p>
    <w:p>
      <w:pPr>
        <w:spacing w:line="360" w:lineRule="auto"/>
        <w:rPr>
          <w:rFonts w:ascii="Times New Roman" w:hAnsi="Times New Roman" w:eastAsia="宋体" w:cs="Times New Roman"/>
          <w:b/>
          <w:color w:val="000000" w:themeColor="text1"/>
          <w:sz w:val="28"/>
          <w:szCs w:val="24"/>
          <w:highlight w:val="none"/>
        </w:rPr>
      </w:pPr>
      <w:bookmarkStart w:id="51" w:name="_Toc356889608"/>
      <w:bookmarkStart w:id="52" w:name="_Toc370738928"/>
      <w:bookmarkStart w:id="53" w:name="_Toc370978598"/>
      <w:r>
        <w:rPr>
          <w:rFonts w:ascii="Times New Roman" w:hAnsi="Times New Roman" w:eastAsia="宋体" w:cs="Times New Roman"/>
          <w:b/>
          <w:color w:val="000000" w:themeColor="text1"/>
          <w:sz w:val="28"/>
          <w:szCs w:val="24"/>
          <w:highlight w:val="none"/>
        </w:rPr>
        <w:t>12.投标保证金</w:t>
      </w:r>
      <w:bookmarkEnd w:id="51"/>
      <w:bookmarkEnd w:id="52"/>
      <w:bookmarkEnd w:id="53"/>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12.1本项目约定投标人应提供的投标保证金金额、提交方式、投标保证金到账截止时间、投标保证金有效期等详见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12.2投标保证金可采用下列形式之一种：</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（1）银行转帐；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（2）银行电汇；</w:t>
      </w:r>
    </w:p>
    <w:p>
      <w:pPr>
        <w:tabs>
          <w:tab w:val="left" w:pos="1050"/>
          <w:tab w:val="left" w:pos="1470"/>
        </w:tabs>
        <w:spacing w:line="360" w:lineRule="auto"/>
        <w:ind w:firstLine="1080" w:firstLineChars="45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以银行转帐或电汇形式提交的投标保证金必须从投标人</w:t>
      </w:r>
      <w:r>
        <w:rPr>
          <w:rFonts w:ascii="Times New Roman" w:hAnsi="Times New Roman" w:eastAsia="宋体" w:cs="Times New Roman"/>
          <w:b/>
          <w:color w:val="000000" w:themeColor="text1"/>
          <w:sz w:val="24"/>
          <w:szCs w:val="24"/>
          <w:highlight w:val="none"/>
        </w:rPr>
        <w:t>基本账户</w:t>
      </w:r>
      <w:r>
        <w:rPr>
          <w:rFonts w:ascii="Times New Roman" w:hAnsi="Times New Roman" w:eastAsia="宋体" w:cs="Times New Roman"/>
          <w:color w:val="000000" w:themeColor="text1"/>
          <w:sz w:val="24"/>
          <w:szCs w:val="24"/>
          <w:highlight w:val="none"/>
        </w:rPr>
        <w:t>转出。</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3中标候选人以外投标人的投标保证金退还详见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4中标人和其他中标候选人的投标保证金退还详见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12.</w:t>
      </w:r>
      <w:r>
        <w:rPr>
          <w:rFonts w:hint="eastAsia" w:ascii="宋体" w:hAnsi="宋体" w:eastAsia="宋体" w:cs="Times New Roman"/>
          <w:color w:val="000000" w:themeColor="text1"/>
          <w:sz w:val="24"/>
          <w:szCs w:val="24"/>
          <w:highlight w:val="none"/>
        </w:rPr>
        <w:t>5发生下列情况之一，保证金将不予退还：</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ascii="宋体" w:hAnsi="宋体" w:eastAsia="宋体" w:cs="Arial"/>
          <w:color w:val="000000" w:themeColor="text1"/>
          <w:sz w:val="24"/>
          <w:szCs w:val="24"/>
          <w:highlight w:val="none"/>
        </w:rPr>
        <w:t>（</w:t>
      </w:r>
      <w:r>
        <w:rPr>
          <w:rFonts w:ascii="宋体" w:hAnsi="宋体" w:eastAsia="宋体" w:cs="Times New Roman"/>
          <w:color w:val="000000" w:themeColor="text1"/>
          <w:sz w:val="24"/>
          <w:szCs w:val="24"/>
          <w:highlight w:val="none"/>
        </w:rPr>
        <w:t>1）</w:t>
      </w:r>
      <w:r>
        <w:rPr>
          <w:rFonts w:hint="eastAsia" w:ascii="宋体" w:hAnsi="宋体" w:eastAsia="宋体" w:cs="Times New Roman"/>
          <w:color w:val="000000" w:themeColor="text1"/>
          <w:sz w:val="24"/>
          <w:szCs w:val="24"/>
          <w:highlight w:val="none"/>
        </w:rPr>
        <w:t>投标人在投标有效期内撤销投标文件</w:t>
      </w:r>
      <w:r>
        <w:rPr>
          <w:rFonts w:ascii="宋体" w:hAnsi="宋体" w:eastAsia="宋体" w:cs="Times New Roman"/>
          <w:color w:val="000000" w:themeColor="text1"/>
          <w:sz w:val="24"/>
          <w:szCs w:val="24"/>
          <w:highlight w:val="none"/>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w:t>
      </w:r>
      <w:r>
        <w:rPr>
          <w:rFonts w:hint="eastAsia" w:ascii="宋体" w:hAnsi="宋体" w:eastAsia="宋体" w:cs="Times New Roman"/>
          <w:color w:val="000000" w:themeColor="text1"/>
          <w:sz w:val="24"/>
          <w:szCs w:val="24"/>
          <w:highlight w:val="none"/>
        </w:rPr>
        <w:t>中标人在收到中标通知书后，无正当理由不与招标人订立合同，在签订合同时向招标人提出附加条件，或者不按照招标文件要求提交履约保证金</w:t>
      </w:r>
      <w:r>
        <w:rPr>
          <w:rFonts w:ascii="宋体" w:hAnsi="宋体" w:eastAsia="宋体" w:cs="Times New Roman"/>
          <w:color w:val="000000" w:themeColor="text1"/>
          <w:sz w:val="24"/>
          <w:szCs w:val="24"/>
          <w:highlight w:val="none"/>
        </w:rPr>
        <w:t>。</w:t>
      </w:r>
    </w:p>
    <w:p>
      <w:pPr>
        <w:widowControl/>
        <w:tabs>
          <w:tab w:val="left" w:pos="1050"/>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规定提供</w:t>
      </w:r>
      <w:r>
        <w:rPr>
          <w:rFonts w:hint="eastAsia" w:ascii="宋体" w:hAnsi="宋体" w:eastAsia="宋体" w:cs="Times New Roman"/>
          <w:color w:val="000000" w:themeColor="text1"/>
          <w:sz w:val="24"/>
          <w:szCs w:val="24"/>
          <w:highlight w:val="none"/>
        </w:rPr>
        <w:t>低价</w:t>
      </w:r>
      <w:r>
        <w:rPr>
          <w:rFonts w:ascii="宋体" w:hAnsi="宋体" w:eastAsia="宋体" w:cs="Times New Roman"/>
          <w:color w:val="000000" w:themeColor="text1"/>
          <w:sz w:val="24"/>
          <w:szCs w:val="24"/>
          <w:highlight w:val="none"/>
        </w:rPr>
        <w:t>履约担保</w:t>
      </w:r>
      <w:r>
        <w:rPr>
          <w:rFonts w:hint="eastAsia" w:ascii="宋体" w:hAnsi="宋体" w:eastAsia="宋体" w:cs="Times New Roman"/>
          <w:color w:val="000000" w:themeColor="text1"/>
          <w:sz w:val="24"/>
          <w:szCs w:val="24"/>
          <w:highlight w:val="none"/>
        </w:rPr>
        <w:t>的（如果有）。</w:t>
      </w:r>
    </w:p>
    <w:p>
      <w:pPr>
        <w:widowControl/>
        <w:tabs>
          <w:tab w:val="left" w:pos="426"/>
          <w:tab w:val="left" w:pos="1470"/>
        </w:tabs>
        <w:adjustRightInd w:val="0"/>
        <w:spacing w:line="440" w:lineRule="exact"/>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（4）拟</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w:t>
      </w:r>
      <w:r>
        <w:rPr>
          <w:rFonts w:hint="eastAsia" w:ascii="宋体" w:hAnsi="宋体" w:eastAsia="宋体" w:cs="Times New Roman"/>
          <w:color w:val="000000" w:themeColor="text1"/>
          <w:sz w:val="24"/>
          <w:szCs w:val="24"/>
          <w:highlight w:val="none"/>
        </w:rPr>
        <w:t>参加相关测试或相关测试未通过的（如果有）。</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w:t>
      </w:r>
      <w:r>
        <w:rPr>
          <w:rFonts w:ascii="宋体" w:hAnsi="宋体" w:eastAsia="宋体" w:cs="Times New Roman"/>
          <w:color w:val="000000" w:themeColor="text1"/>
          <w:sz w:val="24"/>
          <w:szCs w:val="24"/>
          <w:highlight w:val="none"/>
        </w:rPr>
        <w:t>中标人不按本</w:t>
      </w:r>
      <w:r>
        <w:rPr>
          <w:rFonts w:hint="eastAsia" w:ascii="宋体" w:hAnsi="宋体" w:eastAsia="宋体" w:cs="Times New Roman"/>
          <w:color w:val="000000" w:themeColor="text1"/>
          <w:sz w:val="24"/>
          <w:szCs w:val="24"/>
          <w:highlight w:val="none"/>
        </w:rPr>
        <w:t>招标文件</w:t>
      </w:r>
      <w:r>
        <w:rPr>
          <w:rFonts w:ascii="宋体" w:hAnsi="宋体" w:eastAsia="宋体" w:cs="Times New Roman"/>
          <w:color w:val="000000" w:themeColor="text1"/>
          <w:sz w:val="24"/>
          <w:szCs w:val="24"/>
          <w:highlight w:val="none"/>
        </w:rPr>
        <w:t>规定</w:t>
      </w:r>
      <w:r>
        <w:rPr>
          <w:rFonts w:hint="eastAsia" w:ascii="宋体" w:hAnsi="宋体" w:eastAsia="宋体" w:cs="Times New Roman"/>
          <w:color w:val="000000" w:themeColor="text1"/>
          <w:sz w:val="24"/>
          <w:szCs w:val="24"/>
          <w:highlight w:val="none"/>
        </w:rPr>
        <w:t>支</w:t>
      </w:r>
      <w:r>
        <w:rPr>
          <w:rFonts w:ascii="宋体" w:hAnsi="宋体" w:eastAsia="宋体" w:cs="Times New Roman"/>
          <w:color w:val="000000" w:themeColor="text1"/>
          <w:sz w:val="24"/>
          <w:szCs w:val="24"/>
          <w:highlight w:val="none"/>
        </w:rPr>
        <w:t>付招标代理服务费</w:t>
      </w:r>
      <w:r>
        <w:rPr>
          <w:rFonts w:hint="eastAsia" w:ascii="宋体" w:hAnsi="宋体" w:eastAsia="宋体" w:cs="Times New Roman"/>
          <w:color w:val="000000" w:themeColor="text1"/>
          <w:sz w:val="24"/>
          <w:szCs w:val="24"/>
          <w:highlight w:val="none"/>
        </w:rPr>
        <w:t>或交易服务费</w:t>
      </w:r>
      <w:r>
        <w:rPr>
          <w:rFonts w:ascii="宋体" w:hAnsi="宋体" w:eastAsia="宋体" w:cs="Times New Roman"/>
          <w:color w:val="000000" w:themeColor="text1"/>
          <w:sz w:val="24"/>
          <w:szCs w:val="24"/>
          <w:highlight w:val="none"/>
        </w:rPr>
        <w:t>的。</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（6）发生投标人须知前附表规定的其他可以不予退还投标保证金的情形。</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（7）《招标投标法》、《招标投标法实施条例》及《重庆市招标投标条例》等法律法规规定的没收投标保证金的情况；</w:t>
      </w:r>
      <w:bookmarkStart w:id="54" w:name="_Toc370978599"/>
      <w:bookmarkStart w:id="55" w:name="_Toc356889609"/>
      <w:bookmarkStart w:id="56" w:name="_Toc370738929"/>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13.投标文件的有效期</w:t>
      </w:r>
      <w:bookmarkEnd w:id="54"/>
      <w:bookmarkEnd w:id="55"/>
      <w:bookmarkEnd w:id="56"/>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自开标日起90日内，投标文件保持有效。</w:t>
      </w:r>
    </w:p>
    <w:p>
      <w:pPr>
        <w:spacing w:line="360" w:lineRule="auto"/>
        <w:rPr>
          <w:rFonts w:ascii="Times New Roman" w:hAnsi="Times New Roman" w:eastAsia="宋体" w:cs="Times New Roman"/>
          <w:b/>
          <w:color w:val="000000" w:themeColor="text1"/>
          <w:sz w:val="28"/>
          <w:szCs w:val="24"/>
          <w:highlight w:val="none"/>
        </w:rPr>
      </w:pPr>
      <w:bookmarkStart w:id="57" w:name="_Toc356889610"/>
      <w:bookmarkStart w:id="58" w:name="_Toc370738930"/>
      <w:bookmarkStart w:id="59" w:name="_Toc370978600"/>
      <w:r>
        <w:rPr>
          <w:rFonts w:ascii="Times New Roman" w:hAnsi="Times New Roman" w:eastAsia="宋体" w:cs="Times New Roman"/>
          <w:b/>
          <w:color w:val="000000" w:themeColor="text1"/>
          <w:sz w:val="28"/>
          <w:szCs w:val="24"/>
          <w:highlight w:val="none"/>
        </w:rPr>
        <w:t>14.投标文件的签署及规定</w:t>
      </w:r>
      <w:bookmarkEnd w:id="57"/>
      <w:bookmarkEnd w:id="58"/>
      <w:bookmarkEnd w:id="5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14.1组成投标文件的各项资料（本须知第8条中所规定）均应遵守本条。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14.2投标文件必须由法定代表人或其授权代表签署同时加盖单位公章（在投标文件格式规定的签字盖章处）。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14.3投标文件正本</w:t>
      </w:r>
      <w:r>
        <w:rPr>
          <w:rFonts w:ascii="Times New Roman" w:hAnsi="Times New Roman" w:eastAsia="宋体" w:cs="Times New Roman"/>
          <w:color w:val="000000" w:themeColor="text1"/>
          <w:sz w:val="24"/>
          <w:highlight w:val="none"/>
        </w:rPr>
        <w:t>1</w:t>
      </w:r>
      <w:r>
        <w:rPr>
          <w:rFonts w:ascii="Times New Roman" w:hAnsi="Times New Roman" w:eastAsia="宋体" w:cs="Times New Roman"/>
          <w:color w:val="000000" w:themeColor="text1"/>
          <w:sz w:val="24"/>
          <w:szCs w:val="24"/>
          <w:highlight w:val="none"/>
        </w:rPr>
        <w:t>份，副本数量、电子文件数量详见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。如果正本与副本不符，以正本为准。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14.4投标文件的正本必须用不退色的墨水填写或打印，注明“正本”字样。副本可以用复印件。</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14.5投标文件如果有涂改和增删，必须由同一人签署人（法定代表人或其授权委托代理人）签字或盖章方为有效。</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14.6 投标文件因字迹潦草或表达不清所引起的后果由投标人自行负责。</w:t>
      </w:r>
    </w:p>
    <w:p>
      <w:pPr>
        <w:jc w:val="center"/>
        <w:rPr>
          <w:rFonts w:ascii="Times New Roman" w:hAnsi="Times New Roman" w:eastAsia="宋体" w:cs="Times New Roman"/>
          <w:b/>
          <w:color w:val="000000" w:themeColor="text1"/>
          <w:sz w:val="28"/>
          <w:szCs w:val="32"/>
          <w:highlight w:val="none"/>
        </w:rPr>
      </w:pPr>
      <w:bookmarkStart w:id="60" w:name="_Toc356889611"/>
      <w:bookmarkStart w:id="61" w:name="_Toc370978601"/>
      <w:bookmarkStart w:id="62" w:name="_Toc370738931"/>
      <w:r>
        <w:rPr>
          <w:rFonts w:ascii="Times New Roman" w:hAnsi="Times New Roman" w:eastAsia="宋体" w:cs="Times New Roman"/>
          <w:b/>
          <w:color w:val="000000" w:themeColor="text1"/>
          <w:sz w:val="28"/>
          <w:szCs w:val="32"/>
          <w:highlight w:val="none"/>
        </w:rPr>
        <w:t>五、投标文件递交</w:t>
      </w:r>
      <w:bookmarkEnd w:id="60"/>
      <w:bookmarkEnd w:id="61"/>
      <w:bookmarkEnd w:id="62"/>
      <w:bookmarkStart w:id="63" w:name="_Toc370738932"/>
      <w:bookmarkStart w:id="64" w:name="_Toc370978602"/>
      <w:bookmarkStart w:id="65" w:name="_Toc356889612"/>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15.投标文件的密封及标记</w:t>
      </w:r>
      <w:bookmarkEnd w:id="63"/>
      <w:bookmarkEnd w:id="64"/>
      <w:bookmarkEnd w:id="65"/>
    </w:p>
    <w:p>
      <w:pPr>
        <w:spacing w:line="360" w:lineRule="auto"/>
        <w:ind w:firstLine="480" w:firstLineChars="200"/>
        <w:rPr>
          <w:rFonts w:ascii="Times New Roman" w:hAnsi="Times New Roman" w:eastAsia="宋体" w:cs="Times New Roman"/>
          <w:color w:val="000000" w:themeColor="text1"/>
          <w:sz w:val="24"/>
          <w:szCs w:val="24"/>
          <w:highlight w:val="none"/>
        </w:rPr>
      </w:pPr>
      <w:bookmarkStart w:id="66" w:name="_Toc370738933"/>
      <w:bookmarkStart w:id="67" w:name="_Toc356889613"/>
      <w:bookmarkStart w:id="68" w:name="_Toc370978603"/>
      <w:r>
        <w:rPr>
          <w:rFonts w:ascii="Times New Roman" w:hAnsi="Times New Roman" w:eastAsia="宋体" w:cs="Times New Roman"/>
          <w:color w:val="000000" w:themeColor="text1"/>
          <w:sz w:val="24"/>
          <w:szCs w:val="24"/>
          <w:highlight w:val="none"/>
        </w:rPr>
        <w:t>15.1投标文件的正、副本标记：详见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15.2投标文件的密封和标注：详见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15.3如果投标人未按上述15.2要求密封并加写标记，将导致投标文件被拒收，招标人或招标代理机构对投标文件的误投和提前启封概不负责。</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16.投标截止时间</w:t>
      </w:r>
      <w:bookmarkEnd w:id="66"/>
      <w:bookmarkEnd w:id="67"/>
      <w:bookmarkEnd w:id="6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16.1投标文件必须在</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规定的投标截止时间前派人送达至</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规定的投标文件递交地点。</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16.2在投标截止时间以后送达的投标文件，招标人或招标机构不受理。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16.3投标产品样品的要求及递交：招标文件若要求投标人提供投标产品样品，应在投标人须知前附表中明确样品的规格及数量，样品提交时间、地点，以及样品的包装、标记及处置方式。</w:t>
      </w:r>
    </w:p>
    <w:p>
      <w:pPr>
        <w:spacing w:line="360" w:lineRule="auto"/>
        <w:rPr>
          <w:rFonts w:ascii="Times New Roman" w:hAnsi="Times New Roman" w:eastAsia="宋体" w:cs="Times New Roman"/>
          <w:b/>
          <w:color w:val="000000" w:themeColor="text1"/>
          <w:sz w:val="28"/>
          <w:szCs w:val="24"/>
          <w:highlight w:val="none"/>
        </w:rPr>
      </w:pPr>
      <w:bookmarkStart w:id="69" w:name="_Toc370738934"/>
      <w:bookmarkStart w:id="70" w:name="_Toc356889614"/>
      <w:bookmarkStart w:id="71" w:name="_Toc370978604"/>
      <w:r>
        <w:rPr>
          <w:rFonts w:ascii="Times New Roman" w:hAnsi="Times New Roman" w:eastAsia="宋体" w:cs="Times New Roman"/>
          <w:b/>
          <w:color w:val="000000" w:themeColor="text1"/>
          <w:sz w:val="28"/>
          <w:szCs w:val="24"/>
          <w:highlight w:val="none"/>
        </w:rPr>
        <w:t>17.投标文件的修改和撤回</w:t>
      </w:r>
      <w:bookmarkEnd w:id="69"/>
      <w:bookmarkEnd w:id="70"/>
      <w:bookmarkEnd w:id="71"/>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17.1投标截止时间以前，投标人可以修改或撤回己递交的投标文件，但应以书面形式通知招标人或招标机构。招标人或招标机构收到书面材料后，向投标人出具签收凭证。</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17.2投标人修改或撒回己递交的投标文件的书面材料，须按本章14.2、15.1的要求签字、盖章、密封、标记，派人送达</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指定的地点，并标明“修改”或“撒回”字样。</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17.3开标后，投标人不得修改或撤回投标文件。否则，修改的投标文件无效；撒回投标文件的其投标保证金不予退还。</w:t>
      </w:r>
    </w:p>
    <w:p>
      <w:pPr>
        <w:jc w:val="center"/>
        <w:rPr>
          <w:rFonts w:ascii="Times New Roman" w:hAnsi="Times New Roman" w:eastAsia="宋体" w:cs="Times New Roman"/>
          <w:b/>
          <w:color w:val="000000" w:themeColor="text1"/>
          <w:sz w:val="28"/>
          <w:szCs w:val="32"/>
          <w:highlight w:val="none"/>
        </w:rPr>
      </w:pPr>
      <w:bookmarkStart w:id="72" w:name="_Toc370738935"/>
      <w:bookmarkStart w:id="73" w:name="_Toc356889615"/>
      <w:bookmarkStart w:id="74" w:name="_Toc370978605"/>
      <w:r>
        <w:rPr>
          <w:rFonts w:ascii="Times New Roman" w:hAnsi="Times New Roman" w:eastAsia="宋体" w:cs="Times New Roman"/>
          <w:b/>
          <w:color w:val="000000" w:themeColor="text1"/>
          <w:sz w:val="28"/>
          <w:szCs w:val="32"/>
          <w:highlight w:val="none"/>
        </w:rPr>
        <w:t>六、开标及评标</w:t>
      </w:r>
      <w:bookmarkEnd w:id="72"/>
      <w:bookmarkEnd w:id="73"/>
      <w:bookmarkEnd w:id="74"/>
      <w:bookmarkStart w:id="75" w:name="_Toc370978606"/>
      <w:bookmarkStart w:id="76" w:name="_Toc356889616"/>
      <w:bookmarkStart w:id="77" w:name="_Toc370738936"/>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18.开标</w:t>
      </w:r>
      <w:bookmarkEnd w:id="75"/>
      <w:bookmarkEnd w:id="76"/>
      <w:bookmarkEnd w:id="77"/>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18.1 开标时间及地点：</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招标人或招标机构按招标文件</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规定的开标时间、开标地点公开开标。并邀请所有投标人的法定代表人或其授权代表准时参加。</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18.2开标程序：</w:t>
      </w:r>
    </w:p>
    <w:p>
      <w:p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主持人按下列程序开标：</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宣布开标纪律;</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公布在投标截止时间前递交投标文件的投标人名称,并点名确认投标人是否派人到场;</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宣布开标人、唱标人、记录人、监标人等有关人员姓名;</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规定检查投标文件密封情况,并作好检查记录;</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规定的随机当众开标,公布《投标函》规定的内容</w:t>
      </w:r>
      <w:r>
        <w:rPr>
          <w:rFonts w:hint="eastAsia" w:ascii="宋体" w:hAnsi="宋体" w:eastAsia="宋体" w:cs="宋体"/>
          <w:color w:val="000000" w:themeColor="text1"/>
          <w:sz w:val="24"/>
          <w:szCs w:val="24"/>
          <w:highlight w:val="none"/>
        </w:rPr>
        <w:t>∶</w:t>
      </w:r>
      <w:r>
        <w:rPr>
          <w:rFonts w:ascii="Times New Roman" w:hAnsi="Times New Roman" w:eastAsia="宋体" w:cs="Times New Roman"/>
          <w:color w:val="000000" w:themeColor="text1"/>
          <w:sz w:val="24"/>
          <w:szCs w:val="24"/>
          <w:highlight w:val="none"/>
        </w:rPr>
        <w:t>投标人名称、投标报价等。</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投标人对开标有异议的，应当在开标现场提出。招标人或招标机构将当场作出答复，并制作记录。</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投标人代表、招标人代表、监标人、记录人等有关人员在《开标记录》上签字确认;</w:t>
      </w:r>
    </w:p>
    <w:p>
      <w:pPr>
        <w:numPr>
          <w:ilvl w:val="0"/>
          <w:numId w:val="8"/>
        </w:numPr>
        <w:autoSpaceDE w:val="0"/>
        <w:autoSpaceDN w:val="0"/>
        <w:spacing w:line="360" w:lineRule="auto"/>
        <w:ind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开标会结束。</w:t>
      </w:r>
    </w:p>
    <w:p>
      <w:pPr>
        <w:spacing w:line="360" w:lineRule="auto"/>
        <w:rPr>
          <w:rFonts w:ascii="Times New Roman" w:hAnsi="Times New Roman" w:eastAsia="宋体" w:cs="Times New Roman"/>
          <w:b/>
          <w:color w:val="000000" w:themeColor="text1"/>
          <w:sz w:val="28"/>
          <w:szCs w:val="24"/>
          <w:highlight w:val="none"/>
        </w:rPr>
      </w:pPr>
      <w:bookmarkStart w:id="78" w:name="_Toc370978607"/>
      <w:bookmarkStart w:id="79" w:name="_Toc370738937"/>
      <w:bookmarkStart w:id="80" w:name="_Toc356889617"/>
      <w:r>
        <w:rPr>
          <w:rFonts w:ascii="Times New Roman" w:hAnsi="Times New Roman" w:eastAsia="宋体" w:cs="Times New Roman"/>
          <w:b/>
          <w:color w:val="000000" w:themeColor="text1"/>
          <w:sz w:val="28"/>
          <w:szCs w:val="24"/>
          <w:highlight w:val="none"/>
        </w:rPr>
        <w:t>19.评标</w:t>
      </w:r>
      <w:bookmarkEnd w:id="78"/>
      <w:bookmarkEnd w:id="79"/>
      <w:bookmarkEnd w:id="80"/>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19.1评标委员会</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19.1.1评标由招标人依法组建的评标委员会负责。评标委员会人数及成员的确定方式，按照</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的相关规定，在开标前从评标专家库中随机抽取有关技术、经济等方面的专家组成。</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19.1.2评标委员会成员有下列情形之一的，应当回避：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（1）招标人或投标人的主要负责人的近亲属；</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（2）项目主管部门或者行政监督部门的人员；</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（3）与投标人有经济利益关系，可能影响对投标公正评审的；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（4）曾因在招标、评标以及其他与招标投标有关活动中从事违法行为而受过行政处罚或刑事处罚的。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19.1.3招标人应当向评标委员会提供评标所必需的信息，包括项目概况及需求，招标文件编制和评标办法设置等情况。但不得明示或者暗示其倾向或者排斥特定投标人。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19.1.4招标人应当根据项目规模和技术复杂程度等因素合理确定评标时间。超过三分之一的评标委员会成员认为评标时间不够的，招标人应当适当延长。</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19.1.5评标过程中，评标委员会成员有回避事由、擅离职守或者因健康等原因不能继续评标的，应当及时更换。被更换的评标委员会成员作出的评审结论无效，由更换后的评标委员会成员重新进行评审。</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19.2评标原则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评标原则遵循公平、公正、科学和择优的原则。</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19.3评标方法</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评标委员会按照第三章规定的评标方法、评审因素、评标标准和评标程序对投标文件进行评审。第三章“评标方法”没有载明的评审因素、方法和标准，不得作为评标依据。</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19.4评标澄清</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sz w:val="24"/>
          <w:szCs w:val="24"/>
          <w:highlight w:val="none"/>
        </w:rPr>
        <w:t>19.5</w:t>
      </w:r>
      <w:r>
        <w:rPr>
          <w:rFonts w:ascii="Times New Roman" w:hAnsi="Times New Roman" w:eastAsia="宋体" w:cs="Times New Roman"/>
          <w:color w:val="000000" w:themeColor="text1"/>
          <w:kern w:val="0"/>
          <w:sz w:val="24"/>
          <w:szCs w:val="24"/>
          <w:highlight w:val="none"/>
        </w:rPr>
        <w:t>中标候选人的推荐方法</w:t>
      </w:r>
    </w:p>
    <w:p>
      <w:pPr>
        <w:autoSpaceDE w:val="0"/>
        <w:autoSpaceDN w:val="0"/>
        <w:spacing w:line="360" w:lineRule="auto"/>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根据招标文件第三章载明的评标方法，由评标委员会按照综合评价得分由高到低排序，或评标价格由低到高排序，推荐前三名为中标候选人。也可根据招标人授权，由评委会直接确定中标人。</w:t>
      </w:r>
    </w:p>
    <w:p>
      <w:pPr>
        <w:spacing w:line="360" w:lineRule="auto"/>
        <w:jc w:val="center"/>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七、评标结果及定标</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20.</w:t>
      </w:r>
      <w:r>
        <w:rPr>
          <w:rFonts w:hint="eastAsia" w:ascii="Times New Roman" w:hAnsi="Times New Roman" w:eastAsia="宋体" w:cs="Times New Roman"/>
          <w:b/>
          <w:color w:val="000000" w:themeColor="text1"/>
          <w:sz w:val="28"/>
          <w:szCs w:val="24"/>
          <w:highlight w:val="none"/>
        </w:rPr>
        <w:t>评标结果公示</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20.1</w:t>
      </w:r>
      <w:r>
        <w:rPr>
          <w:rFonts w:hint="eastAsia" w:ascii="宋体" w:hAnsi="宋体" w:eastAsia="宋体" w:cs="Times New Roman"/>
          <w:color w:val="000000" w:themeColor="text1"/>
          <w:sz w:val="24"/>
          <w:szCs w:val="24"/>
          <w:highlight w:val="none"/>
        </w:rPr>
        <w:t>招标人公示中标候选人，详见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p>
    <w:p>
      <w:pPr>
        <w:widowControl/>
        <w:spacing w:line="300" w:lineRule="auto"/>
        <w:ind w:firstLine="480" w:firstLineChars="200"/>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20.2</w:t>
      </w:r>
      <w:r>
        <w:rPr>
          <w:rFonts w:hint="eastAsia" w:ascii="宋体" w:hAnsi="宋体" w:eastAsia="宋体" w:cs="Times New Roman"/>
          <w:color w:val="000000" w:themeColor="text1"/>
          <w:sz w:val="24"/>
          <w:szCs w:val="24"/>
          <w:highlight w:val="none"/>
        </w:rPr>
        <w:t>投标人或者其他利害关系人对依法必须进行招标的项目的评标结果有异议的，应当在中标候选人公示期间提出。招标人应当自收到异议之日起</w:t>
      </w:r>
      <w:r>
        <w:rPr>
          <w:rFonts w:ascii="宋体" w:hAnsi="宋体" w:eastAsia="宋体" w:cs="Times New Roman"/>
          <w:color w:val="000000" w:themeColor="text1"/>
          <w:sz w:val="24"/>
          <w:szCs w:val="24"/>
          <w:highlight w:val="none"/>
        </w:rPr>
        <w:t>3</w:t>
      </w:r>
      <w:r>
        <w:rPr>
          <w:rFonts w:hint="eastAsia" w:ascii="宋体" w:hAnsi="宋体" w:eastAsia="宋体" w:cs="Times New Roman"/>
          <w:color w:val="000000" w:themeColor="text1"/>
          <w:sz w:val="24"/>
          <w:szCs w:val="24"/>
          <w:highlight w:val="none"/>
        </w:rPr>
        <w:t>日内作出答复；作出答复前，应当暂停招标投标活动。</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21.</w:t>
      </w:r>
      <w:r>
        <w:rPr>
          <w:rFonts w:hint="eastAsia" w:ascii="Times New Roman" w:hAnsi="Times New Roman" w:eastAsia="宋体" w:cs="Times New Roman"/>
          <w:b/>
          <w:color w:val="000000" w:themeColor="text1"/>
          <w:sz w:val="28"/>
          <w:szCs w:val="24"/>
          <w:highlight w:val="none"/>
        </w:rPr>
        <w:t>定标</w:t>
      </w:r>
    </w:p>
    <w:p>
      <w:pPr>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详见</w:t>
      </w:r>
      <w:r>
        <w:rPr>
          <w:rFonts w:hint="eastAsia" w:ascii="宋体" w:hAnsi="宋体" w:eastAsia="宋体" w:cs="Times New Roman"/>
          <w:b/>
          <w:color w:val="000000" w:themeColor="text1"/>
          <w:sz w:val="24"/>
          <w:szCs w:val="24"/>
          <w:highlight w:val="none"/>
        </w:rPr>
        <w:t>投标人须知前附表</w:t>
      </w:r>
      <w:r>
        <w:rPr>
          <w:rFonts w:hint="eastAsia" w:ascii="宋体" w:hAnsi="宋体" w:eastAsia="宋体" w:cs="Times New Roman"/>
          <w:color w:val="000000" w:themeColor="text1"/>
          <w:sz w:val="24"/>
          <w:szCs w:val="24"/>
          <w:highlight w:val="none"/>
        </w:rPr>
        <w:t>。</w:t>
      </w:r>
      <w:bookmarkStart w:id="81" w:name="_Toc356889621"/>
      <w:bookmarkStart w:id="82" w:name="_Toc370738941"/>
      <w:bookmarkStart w:id="83" w:name="_Toc370978611"/>
    </w:p>
    <w:p>
      <w:pPr>
        <w:jc w:val="center"/>
        <w:rPr>
          <w:rFonts w:ascii="Times New Roman" w:hAnsi="Times New Roman" w:eastAsia="宋体" w:cs="Times New Roman"/>
          <w:b/>
          <w:color w:val="000000" w:themeColor="text1"/>
          <w:sz w:val="28"/>
          <w:szCs w:val="32"/>
          <w:highlight w:val="none"/>
        </w:rPr>
      </w:pPr>
      <w:r>
        <w:rPr>
          <w:rFonts w:ascii="Times New Roman" w:hAnsi="Times New Roman" w:eastAsia="宋体" w:cs="Times New Roman"/>
          <w:b/>
          <w:color w:val="000000" w:themeColor="text1"/>
          <w:sz w:val="28"/>
          <w:szCs w:val="32"/>
          <w:highlight w:val="none"/>
        </w:rPr>
        <w:t>八、授予合同</w:t>
      </w:r>
      <w:bookmarkEnd w:id="81"/>
      <w:bookmarkEnd w:id="82"/>
      <w:bookmarkEnd w:id="83"/>
      <w:bookmarkStart w:id="84" w:name="_Toc370738942"/>
      <w:bookmarkStart w:id="85" w:name="_Toc356889622"/>
      <w:bookmarkStart w:id="86" w:name="_Toc370978612"/>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22.中标通知书</w:t>
      </w:r>
    </w:p>
    <w:p>
      <w:pPr>
        <w:ind w:firstLine="480" w:firstLineChars="2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22.1详见</w:t>
      </w:r>
      <w:r>
        <w:rPr>
          <w:rFonts w:hint="eastAsia" w:ascii="宋体" w:hAnsi="宋体" w:eastAsia="宋体" w:cs="Times New Roman"/>
          <w:b/>
          <w:color w:val="000000" w:themeColor="text1"/>
          <w:sz w:val="24"/>
          <w:szCs w:val="24"/>
          <w:highlight w:val="none"/>
        </w:rPr>
        <w:t>投标人须知前附表。</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22.</w:t>
      </w:r>
      <w:r>
        <w:rPr>
          <w:rFonts w:hint="eastAsia" w:ascii="宋体" w:hAnsi="宋体" w:eastAsia="宋体" w:cs="Times New Roman"/>
          <w:color w:val="000000" w:themeColor="text1"/>
          <w:sz w:val="24"/>
          <w:szCs w:val="24"/>
          <w:highlight w:val="none"/>
        </w:rPr>
        <w:t>2</w:t>
      </w:r>
      <w:r>
        <w:rPr>
          <w:rFonts w:ascii="Times New Roman" w:hAnsi="Times New Roman" w:eastAsia="宋体" w:cs="Times New Roman"/>
          <w:color w:val="000000" w:themeColor="text1"/>
          <w:sz w:val="24"/>
          <w:szCs w:val="24"/>
          <w:highlight w:val="none"/>
        </w:rPr>
        <w:t>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22.</w:t>
      </w:r>
      <w:r>
        <w:rPr>
          <w:rFonts w:hint="eastAsia" w:ascii="宋体" w:hAnsi="宋体" w:eastAsia="宋体" w:cs="Times New Roman"/>
          <w:color w:val="000000" w:themeColor="text1"/>
          <w:sz w:val="24"/>
          <w:szCs w:val="24"/>
          <w:highlight w:val="none"/>
        </w:rPr>
        <w:t>3</w:t>
      </w:r>
      <w:r>
        <w:rPr>
          <w:rFonts w:ascii="Times New Roman" w:hAnsi="Times New Roman" w:eastAsia="宋体" w:cs="Times New Roman"/>
          <w:color w:val="000000" w:themeColor="text1"/>
          <w:sz w:val="24"/>
          <w:szCs w:val="24"/>
          <w:highlight w:val="none"/>
        </w:rPr>
        <w:t>中标通知书将是本合同的一个组成部分。</w:t>
      </w:r>
      <w:bookmarkEnd w:id="84"/>
      <w:bookmarkEnd w:id="85"/>
      <w:bookmarkEnd w:id="86"/>
    </w:p>
    <w:p>
      <w:pPr>
        <w:spacing w:line="360" w:lineRule="auto"/>
        <w:rPr>
          <w:rFonts w:ascii="Times New Roman" w:hAnsi="Times New Roman" w:eastAsia="宋体" w:cs="Times New Roman"/>
          <w:b/>
          <w:color w:val="000000" w:themeColor="text1"/>
          <w:sz w:val="28"/>
          <w:szCs w:val="24"/>
          <w:highlight w:val="none"/>
        </w:rPr>
      </w:pPr>
      <w:bookmarkStart w:id="87" w:name="_Toc356889623"/>
      <w:bookmarkStart w:id="88" w:name="_Toc370978613"/>
      <w:bookmarkStart w:id="89" w:name="_Toc370738943"/>
      <w:r>
        <w:rPr>
          <w:rFonts w:ascii="Times New Roman" w:hAnsi="Times New Roman" w:eastAsia="宋体" w:cs="Times New Roman"/>
          <w:b/>
          <w:color w:val="000000" w:themeColor="text1"/>
          <w:sz w:val="28"/>
          <w:szCs w:val="24"/>
          <w:highlight w:val="none"/>
        </w:rPr>
        <w:t>23.签订合同</w:t>
      </w:r>
      <w:bookmarkEnd w:id="87"/>
      <w:bookmarkEnd w:id="88"/>
      <w:bookmarkEnd w:id="89"/>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23.1中标人应按中标通知书规定的时间、地点并向买方提供履约担保（如招标文件要求提供时）后，与买方签订中标经济合同，否则按开标后撤回投标处理。</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23.2中标通知书、中标人的投标文件、招标文件及评标过程中有关澄清文件均应作为合同附件。</w:t>
      </w:r>
    </w:p>
    <w:p>
      <w:pPr>
        <w:spacing w:line="360" w:lineRule="auto"/>
        <w:rPr>
          <w:rFonts w:ascii="Times New Roman" w:hAnsi="Times New Roman" w:eastAsia="宋体" w:cs="Times New Roman"/>
          <w:b/>
          <w:color w:val="000000" w:themeColor="text1"/>
          <w:sz w:val="28"/>
          <w:szCs w:val="24"/>
          <w:highlight w:val="none"/>
        </w:rPr>
      </w:pPr>
      <w:bookmarkStart w:id="90" w:name="_Toc356889624"/>
      <w:bookmarkStart w:id="91" w:name="_Toc370978614"/>
      <w:bookmarkStart w:id="92" w:name="_Toc370738944"/>
      <w:r>
        <w:rPr>
          <w:rFonts w:ascii="Times New Roman" w:hAnsi="Times New Roman" w:eastAsia="宋体" w:cs="Times New Roman"/>
          <w:b/>
          <w:color w:val="000000" w:themeColor="text1"/>
          <w:sz w:val="28"/>
          <w:szCs w:val="24"/>
          <w:highlight w:val="none"/>
        </w:rPr>
        <w:t>24.履约担保</w:t>
      </w:r>
      <w:bookmarkEnd w:id="90"/>
      <w:bookmarkEnd w:id="91"/>
      <w:bookmarkEnd w:id="92"/>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24.1招标文件要求中标人提交履约保证金的，中标人应当按照招标文件的要求提交。</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24.2履约担保形式、担保金额、提交时间详见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24.3中标人如未按第24.1及24.2条的规定办理，招标人有权撤销其中标资格且不退还投标保证金。</w:t>
      </w:r>
    </w:p>
    <w:p>
      <w:pPr>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24.4中标人不履行与招标人订立合同的，履约保证金不予退还，给招标人造成的损失超过履约保证金数额的，还应当对超过部分予以赔偿；没有提交履约保证金的，应当对招标人的损失承担赔偿责任。</w:t>
      </w:r>
    </w:p>
    <w:p>
      <w:pPr>
        <w:jc w:val="center"/>
        <w:rPr>
          <w:rFonts w:ascii="Times New Roman" w:hAnsi="Times New Roman" w:eastAsia="宋体" w:cs="Times New Roman"/>
          <w:b/>
          <w:color w:val="000000" w:themeColor="text1"/>
          <w:sz w:val="28"/>
          <w:szCs w:val="32"/>
          <w:highlight w:val="none"/>
        </w:rPr>
      </w:pPr>
      <w:bookmarkStart w:id="93" w:name="_Toc370738945"/>
      <w:bookmarkStart w:id="94" w:name="_Toc356889625"/>
      <w:bookmarkStart w:id="95" w:name="_Toc370978615"/>
      <w:r>
        <w:rPr>
          <w:rFonts w:ascii="Times New Roman" w:hAnsi="Times New Roman" w:eastAsia="宋体" w:cs="Times New Roman"/>
          <w:b/>
          <w:color w:val="000000" w:themeColor="text1"/>
          <w:sz w:val="28"/>
          <w:szCs w:val="32"/>
          <w:highlight w:val="none"/>
        </w:rPr>
        <w:t>九、重新招标和不再招标</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25.重新招标</w:t>
      </w:r>
      <w:bookmarkEnd w:id="93"/>
      <w:bookmarkEnd w:id="94"/>
      <w:bookmarkEnd w:id="95"/>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25.1有下列情况之一的，招标人应重新招标：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（1）招标公告截止后或投标截止时间止，投标人少于3个的；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（2）经评标委员会评审后否决所有投标人的。</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26.不再招标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26.1重新招标的投标人仍然少于三个的，按照招标投标法律法规规定的程序开标和评标。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jc w:val="center"/>
        <w:rPr>
          <w:rFonts w:ascii="Times New Roman" w:hAnsi="Times New Roman" w:eastAsia="宋体" w:cs="Times New Roman"/>
          <w:b/>
          <w:color w:val="000000" w:themeColor="text1"/>
          <w:sz w:val="28"/>
          <w:szCs w:val="32"/>
          <w:highlight w:val="none"/>
        </w:rPr>
      </w:pPr>
      <w:bookmarkStart w:id="96" w:name="_Toc370738946"/>
      <w:bookmarkStart w:id="97" w:name="_Toc356889626"/>
      <w:bookmarkStart w:id="98" w:name="_Toc370978616"/>
      <w:r>
        <w:rPr>
          <w:rFonts w:ascii="Times New Roman" w:hAnsi="Times New Roman" w:eastAsia="宋体" w:cs="Times New Roman"/>
          <w:b/>
          <w:color w:val="000000" w:themeColor="text1"/>
          <w:sz w:val="28"/>
          <w:szCs w:val="32"/>
          <w:highlight w:val="none"/>
        </w:rPr>
        <w:t>十、纪律、监督和投诉</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27.纪律要求</w:t>
      </w:r>
      <w:bookmarkEnd w:id="96"/>
      <w:bookmarkEnd w:id="97"/>
      <w:bookmarkEnd w:id="98"/>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27.1对招标人的纪律要求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招标人不得泄漏招标投标活动中应当保密的情况和资料，不得与投标人串通损害国家利益、社会公共利益或者他人合法权益，禁止招标人与投标人串通投标。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highlight w:val="none"/>
        </w:rPr>
        <w:t>     27.1.1</w:t>
      </w:r>
      <w:r>
        <w:rPr>
          <w:rFonts w:ascii="Times New Roman" w:hAnsi="Times New Roman" w:eastAsia="宋体" w:cs="Times New Roman"/>
          <w:color w:val="000000" w:themeColor="text1"/>
          <w:sz w:val="24"/>
          <w:szCs w:val="24"/>
          <w:highlight w:val="none"/>
        </w:rPr>
        <w:t>有下列情形之一的，属于招标人与投标人串通投标：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（1）招标人在开标前开启投标文件并将有关信息泄露给其他投标人;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（2）招标人直接或者间接向投标人泄露标底、评标委员会成员等信息；</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（3）招标人明示或者暗示投标人压低或者抬高投标报价；</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（4）招标人授意投标人撤换、修改投标文件；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（5）招标人明示或者暗示投标人为特定投标人中标提供方便；</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（6）招标人与投标人为谋求特定投标人中标而采取的其他串通行为。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27.2对投标人的纪律要求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27.2.1有下列情形之一的，属于投标人相互串通投标：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（1）投标人之间协商投标报价等投标文件的实质性内容；</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（2）投标人之间约定中标人；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（3）投标人之间约定部分投标人放弃投标或者中标；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（4）属于同一集团、协会、商会等组织成员的投标人按照该组织要求协同投标；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（5）投标人之间为谋取中标或者排斥特定投标人而采取的其他联合行动。</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27.2.2有下列情形之一的，视为投标人相互串通投标：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（1）不同投标人的投标文件由同一单位或者个人编制；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（2）不同投标人委托同一单位或者个人办理投标事宜；</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（3）不同投标人的投标文件载明的项目管理成员为同一人；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（4）不同投标人的投标文件异常一致或者投标报价呈规律性差异；</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（5）不同投标人的投标文件相互混装；</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（6）不同投标人的投标保证金从同一单位或者个人的账户转出。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27.2.3使用通过受让或者租借等方式获取的资格、资质证书投标的，属于以他人名义投标。</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 xml:space="preserve">    27.2.4投标人有下列情形之一的，属于招标投标法第三十三条规定的以其他方式弄虚作假的行为：</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（一）使用伪造、变造的许可证件；</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（二）提供虚假的财务状况或者虚假业绩；</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（三）提供虚假的项目负责人或者主要技术人员简历、劳动关系证明；</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（四）提供虚假的信用状况；</w:t>
      </w:r>
      <w:r>
        <w:rPr>
          <w:rFonts w:ascii="Times New Roman" w:hAnsi="Times New Roman" w:eastAsia="宋体" w:cs="Times New Roman"/>
          <w:color w:val="000000" w:themeColor="text1"/>
          <w:sz w:val="24"/>
          <w:szCs w:val="24"/>
          <w:highlight w:val="none"/>
        </w:rPr>
        <w:br w:type="textWrapping"/>
      </w:r>
      <w:r>
        <w:rPr>
          <w:rFonts w:ascii="Times New Roman" w:hAnsi="Times New Roman" w:eastAsia="宋体" w:cs="Times New Roman"/>
          <w:color w:val="000000" w:themeColor="text1"/>
          <w:sz w:val="24"/>
          <w:szCs w:val="24"/>
          <w:highlight w:val="none"/>
        </w:rPr>
        <w:t>（五）其它弄虚作假的行为。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27.3对评标委员会成员的纪律要求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27.4对与评标活动有关工作人员的纪律要求</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28.监督</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本次招标活动接受有关行政监督部门监督，具体监督部门详见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spacing w:line="360" w:lineRule="auto"/>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29.投诉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29.1投标人和其他利害关系人认为本次招标活动违反法律、法规和规章规定的，可以自知道或者应当知道之日起10日内有权向有关行政监督部门投诉。</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29.2对招标文件有异议的应在领购招标文件后10日内，或投标截止时间/开标时间10日前提出；对开标程序及过程有异议的，投诉人应在开标现场提出；对评标结果有异议的，投诉人应在公示评标结果后10日内提出。</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投诉应当有明确的请求和必要的证明材料，并提交经投诉单位法人或授权代表签字、加盖公章的《投诉书》。</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29.3投诉人应保证其提出投诉内容及相应证明材料的真实性及来源的合法性，并依法承担相应的法律责任或赔偿责任。</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29.4行政监督部门自收到投诉后，按照国家发改委等九部委2013年23号令修改过的国家发改委七部委2004年11号令关于投诉处理办法的相关规定及程序进行处理。</w:t>
      </w:r>
    </w:p>
    <w:p>
      <w:pPr>
        <w:jc w:val="center"/>
        <w:rPr>
          <w:rFonts w:ascii="Times New Roman" w:hAnsi="Times New Roman" w:eastAsia="宋体" w:cs="Times New Roman"/>
          <w:b/>
          <w:color w:val="000000" w:themeColor="text1"/>
          <w:sz w:val="28"/>
          <w:szCs w:val="32"/>
          <w:highlight w:val="none"/>
        </w:rPr>
      </w:pPr>
      <w:bookmarkStart w:id="99" w:name="_Toc370978617"/>
      <w:bookmarkStart w:id="100" w:name="_Toc370738947"/>
      <w:bookmarkStart w:id="101" w:name="_Toc356889627"/>
      <w:r>
        <w:rPr>
          <w:rFonts w:ascii="Times New Roman" w:hAnsi="Times New Roman" w:eastAsia="宋体" w:cs="Times New Roman"/>
          <w:b/>
          <w:color w:val="000000" w:themeColor="text1"/>
          <w:sz w:val="28"/>
          <w:szCs w:val="32"/>
          <w:highlight w:val="none"/>
        </w:rPr>
        <w:t>十一、招标代理服务费</w:t>
      </w:r>
      <w:bookmarkEnd w:id="99"/>
      <w:bookmarkEnd w:id="100"/>
      <w:bookmarkEnd w:id="101"/>
    </w:p>
    <w:p>
      <w:pPr>
        <w:spacing w:line="360" w:lineRule="auto"/>
        <w:rPr>
          <w:rFonts w:ascii="Times New Roman" w:hAnsi="Times New Roman" w:eastAsia="宋体" w:cs="Times New Roman"/>
          <w:b/>
          <w:color w:val="000000" w:themeColor="text1"/>
          <w:sz w:val="28"/>
          <w:szCs w:val="24"/>
          <w:highlight w:val="none"/>
        </w:rPr>
      </w:pPr>
      <w:bookmarkStart w:id="102" w:name="_Toc356889628"/>
      <w:bookmarkStart w:id="103" w:name="_Toc370978618"/>
      <w:bookmarkStart w:id="104" w:name="_Toc370738948"/>
      <w:r>
        <w:rPr>
          <w:rFonts w:ascii="Times New Roman" w:hAnsi="Times New Roman" w:eastAsia="宋体" w:cs="Times New Roman"/>
          <w:b/>
          <w:color w:val="000000" w:themeColor="text1"/>
          <w:sz w:val="28"/>
          <w:szCs w:val="24"/>
          <w:highlight w:val="none"/>
        </w:rPr>
        <w:t>30.招标代理服务费</w:t>
      </w:r>
      <w:bookmarkEnd w:id="102"/>
      <w:bookmarkEnd w:id="103"/>
      <w:bookmarkEnd w:id="104"/>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30.1招标代理服务费的支付：由中标人支付</w:t>
      </w:r>
      <w:r>
        <w:rPr>
          <w:rFonts w:hint="eastAsia" w:ascii="Times New Roman" w:hAnsi="Times New Roman" w:eastAsia="宋体" w:cs="Times New Roman"/>
          <w:color w:val="000000" w:themeColor="text1"/>
          <w:sz w:val="24"/>
          <w:szCs w:val="24"/>
          <w:highlight w:val="none"/>
        </w:rPr>
        <w:t>，</w:t>
      </w:r>
      <w:r>
        <w:rPr>
          <w:rFonts w:ascii="Times New Roman" w:hAnsi="Times New Roman" w:eastAsia="宋体" w:cs="Times New Roman"/>
          <w:color w:val="000000" w:themeColor="text1"/>
          <w:sz w:val="24"/>
          <w:szCs w:val="24"/>
          <w:highlight w:val="none"/>
        </w:rPr>
        <w:t>详见</w:t>
      </w:r>
      <w:r>
        <w:rPr>
          <w:rFonts w:ascii="Times New Roman" w:hAnsi="Times New Roman" w:eastAsia="宋体" w:cs="Times New Roman"/>
          <w:b/>
          <w:color w:val="000000" w:themeColor="text1"/>
          <w:sz w:val="24"/>
          <w:szCs w:val="24"/>
          <w:highlight w:val="none"/>
        </w:rPr>
        <w:t>投标人须知前附表</w:t>
      </w:r>
      <w:r>
        <w:rPr>
          <w:rFonts w:ascii="Times New Roman" w:hAnsi="Times New Roman" w:eastAsia="宋体" w:cs="Times New Roman"/>
          <w:color w:val="000000" w:themeColor="text1"/>
          <w:sz w:val="24"/>
          <w:szCs w:val="24"/>
          <w:highlight w:val="none"/>
        </w:rPr>
        <w:t>。</w:t>
      </w:r>
    </w:p>
    <w:p>
      <w:pPr>
        <w:tabs>
          <w:tab w:val="left" w:pos="1050"/>
          <w:tab w:val="left" w:pos="1470"/>
        </w:tabs>
        <w:spacing w:line="360" w:lineRule="auto"/>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30.2招标代理服务费为银行支票、银行汇票或现金。</w:t>
      </w:r>
    </w:p>
    <w:p>
      <w:pPr>
        <w:spacing w:line="360" w:lineRule="auto"/>
        <w:rPr>
          <w:rFonts w:ascii="Times New Roman" w:hAnsi="Times New Roman" w:eastAsia="宋体" w:cs="Times New Roman"/>
          <w:b/>
          <w:color w:val="000000" w:themeColor="text1"/>
          <w:sz w:val="28"/>
          <w:szCs w:val="24"/>
          <w:highlight w:val="none"/>
        </w:rPr>
      </w:pPr>
      <w:bookmarkStart w:id="105" w:name="_Toc370978619"/>
      <w:bookmarkStart w:id="106" w:name="_Toc370738949"/>
      <w:bookmarkStart w:id="107" w:name="_Toc356889629"/>
      <w:r>
        <w:rPr>
          <w:rFonts w:ascii="Times New Roman" w:hAnsi="Times New Roman" w:eastAsia="宋体" w:cs="Times New Roman"/>
          <w:b/>
          <w:color w:val="000000" w:themeColor="text1"/>
          <w:sz w:val="28"/>
          <w:szCs w:val="24"/>
          <w:highlight w:val="none"/>
        </w:rPr>
        <w:t>31.</w:t>
      </w:r>
      <w:bookmarkEnd w:id="105"/>
      <w:bookmarkEnd w:id="106"/>
      <w:bookmarkEnd w:id="107"/>
      <w:bookmarkStart w:id="108" w:name="_Toc152042364"/>
      <w:bookmarkStart w:id="109" w:name="_Toc179632605"/>
      <w:bookmarkStart w:id="110" w:name="_Toc144974554"/>
      <w:bookmarkStart w:id="111" w:name="_Toc152045587"/>
      <w:r>
        <w:rPr>
          <w:rFonts w:ascii="Times New Roman" w:hAnsi="Times New Roman" w:eastAsia="宋体" w:cs="Times New Roman"/>
          <w:b/>
          <w:color w:val="000000" w:themeColor="text1"/>
          <w:sz w:val="28"/>
          <w:szCs w:val="24"/>
          <w:highlight w:val="none"/>
        </w:rPr>
        <w:t>招标文件售价</w:t>
      </w:r>
    </w:p>
    <w:p>
      <w:pPr>
        <w:spacing w:line="300" w:lineRule="auto"/>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详见</w:t>
      </w:r>
      <w:r>
        <w:rPr>
          <w:rFonts w:ascii="Times New Roman" w:hAnsi="Times New Roman" w:eastAsia="宋体" w:cs="Times New Roman"/>
          <w:b/>
          <w:color w:val="000000" w:themeColor="text1"/>
          <w:sz w:val="24"/>
          <w:szCs w:val="24"/>
          <w:highlight w:val="none"/>
        </w:rPr>
        <w:t>投标人须知前附表。</w:t>
      </w:r>
    </w:p>
    <w:p>
      <w:pPr>
        <w:jc w:val="center"/>
        <w:rPr>
          <w:rFonts w:ascii="Times New Roman" w:hAnsi="Times New Roman" w:eastAsia="宋体" w:cs="Times New Roman"/>
          <w:b/>
          <w:color w:val="000000" w:themeColor="text1"/>
          <w:sz w:val="28"/>
          <w:szCs w:val="32"/>
          <w:highlight w:val="none"/>
        </w:rPr>
      </w:pPr>
      <w:r>
        <w:rPr>
          <w:rFonts w:ascii="Times New Roman" w:hAnsi="Times New Roman" w:eastAsia="宋体" w:cs="Times New Roman"/>
          <w:b/>
          <w:color w:val="000000" w:themeColor="text1"/>
          <w:sz w:val="28"/>
          <w:szCs w:val="32"/>
          <w:highlight w:val="none"/>
        </w:rPr>
        <w:t>十二、其他</w:t>
      </w:r>
    </w:p>
    <w:p>
      <w:pP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见投标人须知前附表要求</w:t>
      </w:r>
    </w:p>
    <w:p>
      <w:pPr>
        <w:tabs>
          <w:tab w:val="left" w:pos="1050"/>
          <w:tab w:val="left" w:pos="1470"/>
        </w:tabs>
        <w:adjustRightInd w:val="0"/>
        <w:spacing w:line="440" w:lineRule="exact"/>
        <w:rPr>
          <w:rFonts w:ascii="Times New Roman" w:hAnsi="Times New Roman" w:eastAsia="宋体" w:cs="Times New Roman"/>
          <w:color w:val="000000" w:themeColor="text1"/>
          <w:sz w:val="30"/>
          <w:szCs w:val="30"/>
          <w:highlight w:val="none"/>
        </w:rPr>
        <w:sectPr>
          <w:headerReference r:id="rId10" w:type="default"/>
          <w:pgSz w:w="11906" w:h="16838"/>
          <w:pgMar w:top="1402" w:right="1616" w:bottom="1134" w:left="1365" w:header="851" w:footer="992" w:gutter="0"/>
          <w:cols w:space="720" w:num="1"/>
          <w:docGrid w:type="linesAndChars" w:linePitch="312" w:charSpace="0"/>
        </w:sectPr>
      </w:pPr>
    </w:p>
    <w:bookmarkEnd w:id="108"/>
    <w:bookmarkEnd w:id="109"/>
    <w:bookmarkEnd w:id="110"/>
    <w:bookmarkEnd w:id="111"/>
    <w:p>
      <w:pPr>
        <w:keepNext/>
        <w:keepLines/>
        <w:spacing w:line="440" w:lineRule="exact"/>
        <w:ind w:firstLine="883" w:firstLineChars="200"/>
        <w:jc w:val="center"/>
        <w:outlineLvl w:val="0"/>
        <w:rPr>
          <w:rFonts w:ascii="Calibri" w:hAnsi="Calibri" w:eastAsia="黑体" w:cs="Times New Roman"/>
          <w:b/>
          <w:bCs/>
          <w:color w:val="000000" w:themeColor="text1"/>
          <w:kern w:val="44"/>
          <w:sz w:val="44"/>
          <w:szCs w:val="44"/>
          <w:highlight w:val="none"/>
        </w:rPr>
      </w:pPr>
      <w:bookmarkStart w:id="112" w:name="_Toc489972851"/>
      <w:r>
        <w:rPr>
          <w:rFonts w:ascii="Calibri" w:hAnsi="Calibri" w:eastAsia="黑体" w:cs="Times New Roman"/>
          <w:b/>
          <w:bCs/>
          <w:color w:val="000000" w:themeColor="text1"/>
          <w:kern w:val="44"/>
          <w:sz w:val="44"/>
          <w:szCs w:val="44"/>
          <w:highlight w:val="none"/>
        </w:rPr>
        <w:t>第三章评标方法</w:t>
      </w:r>
      <w:bookmarkEnd w:id="112"/>
    </w:p>
    <w:p>
      <w:pPr>
        <w:keepNext/>
        <w:keepLines/>
        <w:numPr>
          <w:ilvl w:val="1"/>
          <w:numId w:val="0"/>
        </w:numPr>
        <w:tabs>
          <w:tab w:val="left" w:pos="708"/>
        </w:tabs>
        <w:adjustRightInd w:val="0"/>
        <w:snapToGrid w:val="0"/>
        <w:spacing w:before="156" w:after="156" w:line="440" w:lineRule="exact"/>
        <w:ind w:firstLine="3092" w:firstLineChars="1100"/>
        <w:outlineLvl w:val="1"/>
        <w:rPr>
          <w:rFonts w:ascii="宋体" w:hAnsi="宋体" w:eastAsia="宋体" w:cs="Times New Roman"/>
          <w:b/>
          <w:bCs/>
          <w:color w:val="000000" w:themeColor="text1"/>
          <w:kern w:val="0"/>
          <w:sz w:val="28"/>
          <w:szCs w:val="28"/>
          <w:highlight w:val="none"/>
        </w:rPr>
      </w:pPr>
      <w:bookmarkStart w:id="113" w:name="_Toc152045588"/>
      <w:bookmarkStart w:id="114" w:name="_Toc144974555"/>
      <w:bookmarkStart w:id="115" w:name="_Toc179632606"/>
      <w:bookmarkStart w:id="116" w:name="_Toc152042365"/>
      <w:r>
        <w:rPr>
          <w:rFonts w:hint="eastAsia" w:ascii="宋体" w:hAnsi="宋体" w:eastAsia="宋体" w:cs="Times New Roman"/>
          <w:b/>
          <w:bCs/>
          <w:color w:val="000000" w:themeColor="text1"/>
          <w:kern w:val="0"/>
          <w:sz w:val="28"/>
          <w:szCs w:val="28"/>
          <w:highlight w:val="none"/>
        </w:rPr>
        <w:t>第一节 评标方法前附表</w:t>
      </w:r>
    </w:p>
    <w:p>
      <w:pPr>
        <w:spacing w:line="400" w:lineRule="exact"/>
        <w:rPr>
          <w:rFonts w:ascii="Times New Roman" w:hAnsi="Times New Roman" w:eastAsia="宋体" w:cs="Times New Roman"/>
          <w:b/>
          <w:color w:val="000000" w:themeColor="text1"/>
          <w:szCs w:val="28"/>
          <w:highlight w:val="none"/>
        </w:rPr>
      </w:pPr>
      <w:r>
        <w:rPr>
          <w:rFonts w:hint="eastAsia" w:ascii="Times New Roman" w:hAnsi="Times New Roman" w:eastAsia="宋体" w:cs="Times New Roman"/>
          <w:b/>
          <w:color w:val="000000" w:themeColor="text1"/>
          <w:szCs w:val="28"/>
          <w:highlight w:val="none"/>
        </w:rPr>
        <w:t>评标方法前附表是对《评标方法》所对应条款的具体补充和修改，如有不一致，应以本前附表为准。</w:t>
      </w:r>
    </w:p>
    <w:p>
      <w:pPr>
        <w:spacing w:line="400" w:lineRule="exact"/>
        <w:rPr>
          <w:rFonts w:ascii="宋体" w:hAnsi="宋体" w:eastAsia="宋体" w:cs="Times New Roman"/>
          <w:color w:val="000000" w:themeColor="text1"/>
          <w:highlight w:val="none"/>
        </w:rPr>
      </w:pPr>
      <w:r>
        <w:rPr>
          <w:rFonts w:hint="eastAsia" w:ascii="Times New Roman" w:hAnsi="Times New Roman" w:cs="Times New Roman"/>
          <w:color w:val="000000" w:themeColor="text1"/>
          <w:spacing w:val="-1"/>
          <w:highlight w:val="none"/>
          <w:lang w:val="ru-RU"/>
        </w:rPr>
        <w:t>分包一：移动展业平台软件开发</w:t>
      </w:r>
    </w:p>
    <w:tbl>
      <w:tblPr>
        <w:tblStyle w:val="55"/>
        <w:tblW w:w="1417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335"/>
        <w:gridCol w:w="2316"/>
        <w:gridCol w:w="5388"/>
        <w:gridCol w:w="255"/>
        <w:gridCol w:w="4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207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条款号</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评审因素</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2.1.1</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形式评审标准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w:t>
            </w:r>
            <w:r>
              <w:rPr>
                <w:rFonts w:hint="eastAsia" w:ascii="Times New Roman" w:hAnsi="Times New Roman" w:eastAsia="宋体" w:cs="Times New Roman"/>
                <w:color w:val="000000" w:themeColor="text1"/>
                <w:szCs w:val="21"/>
                <w:highlight w:val="none"/>
              </w:rPr>
              <w:t>保证金</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与</w:t>
            </w:r>
            <w:r>
              <w:rPr>
                <w:rFonts w:hint="eastAsia" w:ascii="Times New Roman" w:hAnsi="Times New Roman" w:eastAsia="宋体" w:cs="Times New Roman"/>
                <w:color w:val="000000" w:themeColor="text1"/>
                <w:szCs w:val="21"/>
                <w:highlight w:val="none"/>
              </w:rPr>
              <w:t>投标人名称</w:t>
            </w:r>
            <w:r>
              <w:rPr>
                <w:rFonts w:ascii="Times New Roman" w:hAnsi="Times New Roman" w:eastAsia="宋体" w:cs="Times New Roman"/>
                <w:color w:val="000000" w:themeColor="text1"/>
                <w:szCs w:val="21"/>
                <w:highlight w:val="none"/>
              </w:rPr>
              <w:t>一致</w:t>
            </w:r>
            <w:r>
              <w:rPr>
                <w:rFonts w:hint="eastAsia" w:ascii="Times New Roman" w:hAnsi="Times New Roman" w:eastAsia="宋体" w:cs="Times New Roman"/>
                <w:color w:val="000000" w:themeColor="text1"/>
                <w:szCs w:val="21"/>
                <w:highlight w:val="none"/>
              </w:rPr>
              <w:t>，符合招标文件《投标人须知前附表》12.1款要求。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投标文件的签署及盖章</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hint="eastAsia" w:ascii="宋体" w:hAnsi="宋体" w:eastAsia="宋体" w:cs="宋体"/>
                <w:color w:val="000000" w:themeColor="text1"/>
                <w:kern w:val="0"/>
                <w:szCs w:val="21"/>
                <w:highlight w:val="none"/>
              </w:rPr>
              <w:t>投标文件</w:t>
            </w:r>
            <w:r>
              <w:rPr>
                <w:rFonts w:hint="eastAsia" w:ascii="Times New Roman" w:hAnsi="Times New Roman" w:eastAsia="宋体" w:cs="Times New Roman"/>
                <w:color w:val="000000" w:themeColor="text1"/>
                <w:szCs w:val="21"/>
                <w:highlight w:val="none"/>
              </w:rPr>
              <w:t>格式</w:t>
            </w:r>
            <w:r>
              <w:rPr>
                <w:rFonts w:hint="eastAsia" w:ascii="宋体" w:hAnsi="宋体" w:eastAsia="宋体" w:cs="宋体"/>
                <w:color w:val="000000" w:themeColor="text1"/>
                <w:kern w:val="0"/>
                <w:szCs w:val="21"/>
                <w:highlight w:val="none"/>
              </w:rPr>
              <w:t>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委托代理人</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报价唯一</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2.1.2</w:t>
            </w:r>
          </w:p>
        </w:tc>
        <w:tc>
          <w:tcPr>
            <w:tcW w:w="1335"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资格评审标准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营业执照</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4141" w:type="dxa"/>
        </w:trPr>
        <w:tc>
          <w:tcPr>
            <w:tcW w:w="743"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5"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其它资格条件要求</w:t>
            </w:r>
          </w:p>
        </w:tc>
        <w:tc>
          <w:tcPr>
            <w:tcW w:w="53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符合第二章</w:t>
            </w:r>
            <w:r>
              <w:rPr>
                <w:rFonts w:ascii="Times New Roman" w:hAnsi="Times New Roman" w:eastAsia="宋体" w:cs="Times New Roman"/>
                <w:b/>
                <w:color w:val="000000" w:themeColor="text1"/>
                <w:szCs w:val="21"/>
                <w:highlight w:val="none"/>
              </w:rPr>
              <w:t>投标人须知</w:t>
            </w:r>
            <w:r>
              <w:rPr>
                <w:rFonts w:hint="eastAsia" w:ascii="Times New Roman" w:hAnsi="Times New Roman" w:eastAsia="宋体" w:cs="Times New Roman"/>
                <w:b/>
                <w:color w:val="000000" w:themeColor="text1"/>
                <w:szCs w:val="21"/>
                <w:highlight w:val="none"/>
              </w:rPr>
              <w:t>前附表</w:t>
            </w:r>
            <w:r>
              <w:rPr>
                <w:rFonts w:hint="eastAsia" w:ascii="Times New Roman" w:hAnsi="Times New Roman" w:eastAsia="宋体" w:cs="Times New Roman"/>
                <w:color w:val="000000" w:themeColor="text1"/>
                <w:szCs w:val="21"/>
                <w:highlight w:val="none"/>
              </w:rPr>
              <w:t>2.6、2.7</w:t>
            </w:r>
            <w:r>
              <w:rPr>
                <w:rFonts w:ascii="Times New Roman" w:hAnsi="Times New Roman" w:eastAsia="宋体" w:cs="Times New Roman"/>
                <w:color w:val="000000" w:themeColor="text1"/>
                <w:szCs w:val="21"/>
                <w:highlight w:val="none"/>
              </w:rPr>
              <w:t>项规定</w:t>
            </w:r>
          </w:p>
        </w:tc>
        <w:tc>
          <w:tcPr>
            <w:tcW w:w="255" w:type="dxa"/>
          </w:tcPr>
          <w:p>
            <w:pPr>
              <w:widowControl/>
              <w:jc w:val="left"/>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2.1.3</w:t>
            </w:r>
          </w:p>
        </w:tc>
        <w:tc>
          <w:tcPr>
            <w:tcW w:w="1335"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响应性评审</w:t>
            </w:r>
          </w:p>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标准</w:t>
            </w: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服务内容</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1.5</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服务期限</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1.6</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投标报价</w:t>
            </w:r>
          </w:p>
        </w:tc>
        <w:tc>
          <w:tcPr>
            <w:tcW w:w="5388" w:type="dxa"/>
            <w:tcBorders>
              <w:top w:val="single" w:color="auto" w:sz="4" w:space="0"/>
              <w:left w:val="single" w:color="auto" w:sz="4" w:space="0"/>
              <w:bottom w:val="single" w:color="auto" w:sz="4" w:space="0"/>
              <w:right w:val="single" w:color="auto" w:sz="4" w:space="0"/>
            </w:tcBorders>
            <w:vAlign w:val="center"/>
          </w:tcPr>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（1）本分包采购预算：220万元，投标人投标总报价不得超过该分包采购预算，否则为废标。</w:t>
            </w:r>
          </w:p>
          <w:p>
            <w:pPr>
              <w:pStyle w:val="12"/>
              <w:rPr>
                <w:color w:val="000000" w:themeColor="text1"/>
                <w:highlight w:val="none"/>
              </w:rPr>
            </w:pPr>
            <w:r>
              <w:rPr>
                <w:rFonts w:hint="eastAsia" w:ascii="Times New Roman" w:hAnsi="Times New Roman" w:eastAsia="宋体" w:cs="Times New Roman"/>
                <w:color w:val="000000" w:themeColor="text1"/>
                <w:szCs w:val="21"/>
                <w:highlight w:val="none"/>
              </w:rPr>
              <w:t>（2）优惠赠送人月数量</w:t>
            </w:r>
            <w:r>
              <w:rPr>
                <w:rFonts w:hint="eastAsia"/>
                <w:color w:val="000000" w:themeColor="text1"/>
                <w:highlight w:val="none"/>
              </w:rPr>
              <w:t>以绝对值报价，单位为人月。</w:t>
            </w:r>
          </w:p>
          <w:p>
            <w:pPr>
              <w:rPr>
                <w:rFonts w:ascii="Times New Roman" w:hAnsi="Times New Roman" w:eastAsia="新宋体" w:cs="Times New Roman"/>
                <w:color w:val="000000" w:themeColor="text1"/>
                <w:szCs w:val="24"/>
                <w:highlight w:val="none"/>
              </w:rPr>
            </w:pPr>
            <w:r>
              <w:rPr>
                <w:rFonts w:hint="eastAsia"/>
                <w:color w:val="000000" w:themeColor="text1"/>
                <w:highlight w:val="none"/>
              </w:rPr>
              <w:t>（3）</w:t>
            </w:r>
            <w:r>
              <w:rPr>
                <w:rFonts w:hint="eastAsia" w:ascii="Times New Roman" w:hAnsi="Times New Roman" w:eastAsia="宋体" w:cs="Times New Roman"/>
                <w:color w:val="000000" w:themeColor="text1"/>
                <w:szCs w:val="21"/>
                <w:highlight w:val="none"/>
              </w:rPr>
              <w:t>年维保费率按百分比率进行报价（即投标总报价的百分之几），报价不能超过8%，否则为废标。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商务符合性</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投标有效期</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符合第二章第一节</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13</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Pr>
        <w:tc>
          <w:tcPr>
            <w:tcW w:w="743"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实质性要求</w:t>
            </w:r>
          </w:p>
        </w:tc>
        <w:tc>
          <w:tcPr>
            <w:tcW w:w="538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符合招标文件规定的其他实质性要求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852" w:hRule="atLeast"/>
        </w:trPr>
        <w:tc>
          <w:tcPr>
            <w:tcW w:w="743" w:type="dxa"/>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2.2.1</w:t>
            </w:r>
          </w:p>
        </w:tc>
        <w:tc>
          <w:tcPr>
            <w:tcW w:w="1335" w:type="dxa"/>
            <w:tcBorders>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ascii="Arial" w:hAnsi="Arial" w:eastAsia="宋体" w:cs="Arial"/>
                <w:color w:val="000000" w:themeColor="text1"/>
                <w:highlight w:val="none"/>
              </w:rPr>
              <w:t>分值构成</w:t>
            </w:r>
            <w:r>
              <w:rPr>
                <w:rFonts w:hint="eastAsia" w:ascii="Arial" w:hAnsi="Arial" w:eastAsia="宋体" w:cs="Arial"/>
                <w:color w:val="000000" w:themeColor="text1"/>
                <w:highlight w:val="none"/>
              </w:rPr>
              <w:t>(100分)</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报价部分60分</w:t>
            </w:r>
          </w:p>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商务部分30分</w:t>
            </w:r>
          </w:p>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技术部分10分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570" w:hRule="atLeast"/>
        </w:trPr>
        <w:tc>
          <w:tcPr>
            <w:tcW w:w="743" w:type="dxa"/>
            <w:vMerge w:val="restart"/>
            <w:tcBorders>
              <w:right w:val="single" w:color="auto" w:sz="4" w:space="0"/>
            </w:tcBorders>
            <w:vAlign w:val="center"/>
          </w:tcPr>
          <w:p>
            <w:pPr>
              <w:rPr>
                <w:rFonts w:ascii="Times New Roman" w:hAnsi="Times New Roman" w:eastAsia="新宋体" w:cs="Times New Roman"/>
                <w:b/>
                <w:color w:val="000000" w:themeColor="text1"/>
                <w:szCs w:val="24"/>
                <w:highlight w:val="none"/>
              </w:rPr>
            </w:pPr>
            <w:r>
              <w:rPr>
                <w:rFonts w:ascii="Times New Roman" w:hAnsi="Times New Roman" w:eastAsia="新宋体" w:cs="Times New Roman"/>
                <w:color w:val="000000" w:themeColor="text1"/>
                <w:szCs w:val="24"/>
                <w:highlight w:val="none"/>
              </w:rPr>
              <w:t>2.2.2</w:t>
            </w:r>
          </w:p>
        </w:tc>
        <w:tc>
          <w:tcPr>
            <w:tcW w:w="1335" w:type="dxa"/>
            <w:vMerge w:val="restart"/>
            <w:tcBorders>
              <w:right w:val="single" w:color="auto" w:sz="4" w:space="0"/>
            </w:tcBorders>
            <w:vAlign w:val="center"/>
          </w:tcPr>
          <w:p>
            <w:pPr>
              <w:jc w:val="center"/>
              <w:rPr>
                <w:rFonts w:ascii="Times New Roman" w:hAnsi="Times New Roman" w:eastAsia="新宋体" w:cs="Times New Roman"/>
                <w:b/>
                <w:color w:val="000000" w:themeColor="text1"/>
                <w:szCs w:val="24"/>
                <w:highlight w:val="none"/>
              </w:rPr>
            </w:pPr>
            <w:r>
              <w:rPr>
                <w:rFonts w:hint="eastAsia" w:ascii="Times New Roman" w:hAnsi="Times New Roman" w:eastAsia="新宋体" w:cs="Times New Roman"/>
                <w:color w:val="000000" w:themeColor="text1"/>
                <w:szCs w:val="24"/>
                <w:highlight w:val="none"/>
              </w:rPr>
              <w:t>评分标准</w:t>
            </w: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b/>
                <w:color w:val="000000" w:themeColor="text1"/>
                <w:szCs w:val="24"/>
                <w:highlight w:val="none"/>
              </w:rPr>
              <w:t>报价部分（60分）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投标总报价(50分)</w:t>
            </w:r>
          </w:p>
        </w:tc>
        <w:tc>
          <w:tcPr>
            <w:tcW w:w="538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Times New Roman" w:hAnsi="Times New Roman" w:eastAsia="新宋体" w:cs="Times New Roman"/>
                <w:color w:val="000000" w:themeColor="text1"/>
                <w:szCs w:val="24"/>
                <w:highlight w:val="none"/>
              </w:rPr>
            </w:pPr>
            <w:r>
              <w:rPr>
                <w:rFonts w:hint="eastAsia" w:ascii="仿宋" w:hAnsi="仿宋" w:eastAsia="仿宋" w:cs="Arial"/>
                <w:color w:val="000000" w:themeColor="text1"/>
                <w:kern w:val="0"/>
                <w:sz w:val="24"/>
                <w:szCs w:val="24"/>
                <w:highlight w:val="none"/>
              </w:rPr>
              <w:t>初步评审合格的各投标总报价算术平均值下浮5%为评标基准价（满分50），各有效投标总报价与评标基准价相比，每高1%扣1分，每低1%扣0.5分，扣完为止。按插入法计算得分。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优惠赠送人月数量</w:t>
            </w:r>
          </w:p>
          <w:p>
            <w:pPr>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（5分）</w:t>
            </w:r>
          </w:p>
        </w:tc>
        <w:tc>
          <w:tcPr>
            <w:tcW w:w="538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Times New Roman" w:hAnsi="Times New Roman" w:eastAsia="新宋体" w:cs="Times New Roman"/>
                <w:color w:val="000000" w:themeColor="text1"/>
                <w:szCs w:val="24"/>
                <w:highlight w:val="none"/>
              </w:rPr>
            </w:pPr>
            <w:r>
              <w:rPr>
                <w:rFonts w:hint="eastAsia" w:ascii="仿宋" w:hAnsi="仿宋" w:eastAsia="仿宋" w:cs="Arial"/>
                <w:color w:val="000000" w:themeColor="text1"/>
                <w:kern w:val="0"/>
                <w:sz w:val="24"/>
                <w:szCs w:val="24"/>
                <w:highlight w:val="none"/>
              </w:rPr>
              <w:t>有效投标人在完全满足本次招标功能需求的前提下，进行额外赠送人月数量优惠承诺，按照人月数量从高到低排序，最多的得5分，按序依次扣分，每次扣1分，本项分值扣完为止。</w:t>
            </w:r>
            <w:r>
              <w:rPr>
                <w:rFonts w:hint="eastAsia" w:ascii="仿宋" w:hAnsi="仿宋" w:eastAsia="仿宋"/>
                <w:color w:val="000000" w:themeColor="text1"/>
                <w:sz w:val="24"/>
                <w:szCs w:val="24"/>
                <w:highlight w:val="none"/>
              </w:rPr>
              <w:t>（扣到得</w:t>
            </w:r>
            <w:r>
              <w:rPr>
                <w:rFonts w:ascii="仿宋" w:hAnsi="仿宋" w:eastAsia="仿宋"/>
                <w:color w:val="000000" w:themeColor="text1"/>
                <w:sz w:val="24"/>
                <w:szCs w:val="24"/>
                <w:highlight w:val="none"/>
              </w:rPr>
              <w:t>0分及位于0分序位以后的投标人，该项得分均为0）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0"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免费维保期后的</w:t>
            </w:r>
          </w:p>
          <w:p>
            <w:pPr>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年维保费率（5分）</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新宋体" w:cs="Times New Roman"/>
                <w:color w:val="000000" w:themeColor="text1"/>
                <w:szCs w:val="24"/>
                <w:highlight w:val="none"/>
              </w:rPr>
            </w:pPr>
            <w:r>
              <w:rPr>
                <w:rFonts w:hint="eastAsia" w:ascii="仿宋" w:hAnsi="仿宋" w:eastAsia="仿宋"/>
                <w:color w:val="000000" w:themeColor="text1"/>
                <w:sz w:val="24"/>
                <w:szCs w:val="24"/>
                <w:highlight w:val="none"/>
              </w:rPr>
              <w:t>免费维保期后的年维保费率按百分比率进行报价（即投标总报价的百分之几），按照报价比率值从低到高进行排序，最低值得5分，按排序依次扣分，每次扣1分，</w:t>
            </w:r>
            <w:r>
              <w:rPr>
                <w:rFonts w:ascii="仿宋" w:hAnsi="仿宋" w:eastAsia="仿宋"/>
                <w:color w:val="000000" w:themeColor="text1"/>
                <w:sz w:val="24"/>
                <w:szCs w:val="24"/>
                <w:highlight w:val="none"/>
              </w:rPr>
              <w:t>本项分值扣完为止。</w:t>
            </w:r>
            <w:r>
              <w:rPr>
                <w:rFonts w:hint="eastAsia" w:ascii="仿宋" w:hAnsi="仿宋" w:eastAsia="仿宋"/>
                <w:color w:val="000000" w:themeColor="text1"/>
                <w:sz w:val="24"/>
                <w:szCs w:val="24"/>
                <w:highlight w:val="none"/>
              </w:rPr>
              <w:t>（扣到得</w:t>
            </w:r>
            <w:r>
              <w:rPr>
                <w:rFonts w:ascii="仿宋" w:hAnsi="仿宋" w:eastAsia="仿宋"/>
                <w:color w:val="000000" w:themeColor="text1"/>
                <w:sz w:val="24"/>
                <w:szCs w:val="24"/>
                <w:highlight w:val="none"/>
              </w:rPr>
              <w:t>0分及位于0分序位以后的投标人，该项得分均为0）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注：</w:t>
            </w:r>
            <w:r>
              <w:rPr>
                <w:rFonts w:hint="eastAsia" w:ascii="宋体" w:hAnsi="宋体" w:eastAsia="宋体" w:cs="Times New Roman"/>
                <w:color w:val="000000" w:themeColor="text1"/>
                <w:szCs w:val="24"/>
                <w:highlight w:val="none"/>
              </w:rPr>
              <w:t>评标委员会认为投标人的报价明显低于其他通过符合性审查投标人的报价，有可能影响产品质量或者不能诚信履约的，有权要求该投标人在评标现场合理时间内提供书面说明，必要时提交相关证明材料。投标人拒绝书面说明或不能证明其报价合理性的，评标委员会有权将其作为无效投标处理，其报价不能参与评分。</w:t>
            </w:r>
          </w:p>
        </w:tc>
        <w:tc>
          <w:tcPr>
            <w:tcW w:w="4396" w:type="dxa"/>
            <w:gridSpan w:val="2"/>
            <w:vAlign w:val="center"/>
          </w:tcPr>
          <w:p>
            <w:pPr>
              <w:widowControl/>
              <w:jc w:val="lef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商务部分（30分）</w:t>
            </w:r>
          </w:p>
        </w:tc>
        <w:tc>
          <w:tcPr>
            <w:tcW w:w="4396" w:type="dxa"/>
            <w:gridSpan w:val="2"/>
            <w:vAlign w:val="center"/>
          </w:tcPr>
          <w:p>
            <w:pPr>
              <w:widowControl/>
              <w:jc w:val="lef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业绩经验(20分)</w:t>
            </w:r>
          </w:p>
        </w:tc>
        <w:tc>
          <w:tcPr>
            <w:tcW w:w="5388" w:type="dxa"/>
            <w:tcBorders>
              <w:left w:val="single" w:color="auto" w:sz="4" w:space="0"/>
              <w:bottom w:val="single" w:color="auto" w:sz="4" w:space="0"/>
              <w:right w:val="single" w:color="auto" w:sz="4" w:space="0"/>
            </w:tcBorders>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近2年内（2017年1月至本招标文件发出日期间）每有一个银行业移动展业或移动营销项目有效案例得2分。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有效案例的认定标准：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(1)案例中客户为国内五大行(工、农、中、建、交)或全国股份制商业银行分行级别或以上项目，或城商行总行级、农村商业银行总行级或农信社总行级项目。</w:t>
            </w:r>
          </w:p>
          <w:p>
            <w:pPr>
              <w:numPr>
                <w:ilvl w:val="255"/>
                <w:numId w:val="0"/>
              </w:num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（2）案例必须为移动展业或移动营销部分独立实施而非某一模块。</w:t>
            </w:r>
          </w:p>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(3)认定方式：由评标委员会根据证明材料进行判定，项目名称或者合同内容能够证明符合上述要求。</w:t>
            </w:r>
          </w:p>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(4)提供案例合同复印件并加盖投标人公章（需提供首页、服务或产品内容页、甲乙方盖章页），原件备查;案例时间以合同签订时间为准。</w:t>
            </w:r>
          </w:p>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注：初步审查的业绩不能纳入本项计分，该项累计最多得20分。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63"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restart"/>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拟投入人员资质</w:t>
            </w:r>
          </w:p>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(5分)</w:t>
            </w:r>
          </w:p>
          <w:p>
            <w:pPr>
              <w:rPr>
                <w:rFonts w:ascii="Times New Roman" w:hAnsi="Times New Roman" w:eastAsia="新宋体" w:cs="Times New Roman"/>
                <w:color w:val="000000" w:themeColor="text1"/>
                <w:szCs w:val="24"/>
                <w:highlight w:val="none"/>
              </w:rPr>
            </w:pP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1）投标人需提供本项目实施团队人员名单，包含但不限于：人员姓名、角色、职责、工作履历、个人专业资质说明；实施团队需配备专职项目经理、开发（或技术）经理、UIUE设计师、业务（或需求）分析师，上述人员要求至少有3年的银行展业平台系统实施经验，且需全程参与过至少2家银行的银行展业平台系统的建设并承担过同等职责。</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（2）根据有效投标人提供的本项目实施团队人员履历信息综合评估打分，满足第（1）点要求的，得3分，否则0分。</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（3）人员履历在满足第（1）点基本要求基础上可根据工作年限、银行展业平台系统实施经验年限和参与案例数量的多少适当加分，最高加2分，最低不加分。</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（4）人员须为投标人公司在职人员。</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【认定标准】人员履历证明材料需提供：有效投标人为相关人员直接缴纳或委托第三方代缴的社保证明(时间:2018年11月-2019年4月)及相关人员的项目工作证明，工作证明需加盖投标人公章。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63"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售后服务（5分）</w:t>
            </w:r>
          </w:p>
        </w:tc>
        <w:tc>
          <w:tcPr>
            <w:tcW w:w="53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售后服务(3分)：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①系统建成并最终验收后提供1年免费维保且包含至少3个月的现场服务，免费维保期后可继续提供有偿维保；</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②提供维保服务支持电话、邮箱、对口联系人；</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③提供本项目所基于的原型产品自身缺陷的免费补丁升级服务；</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④提供本项目所基于的原型产品在维保期内的小版本功能优化免费升级服务；</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⑤提供每年至少4次现场系统运行情况巡检服务；</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⑥提供每年至少1次系统性能诊断和调优服务。</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售后服务承诺包含有上述服务内容的，每一项得0.5分，累计最多得3分。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p>
        </w:tc>
        <w:tc>
          <w:tcPr>
            <w:tcW w:w="5388" w:type="dxa"/>
            <w:tcBorders>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分公司或办事处情况(2分):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（1）投标人在重庆设有分公司或办事处作为售后服务点的，20人(含)以上规模得2分，20人以下规模得1分；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（2）在重庆无售后服务点但在西南地区云、贵、川三省任一城市设有分公司或办事处作为售后服务点的，得1分；</w:t>
            </w:r>
          </w:p>
          <w:p>
            <w:pPr>
              <w:snapToGrid w:val="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（3）在上述地区均无分公司或办事处的，不得分。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注：（1）和（2）不重复计分，本项累计最多得2分。</w:t>
            </w:r>
            <w:r>
              <w:rPr>
                <w:rFonts w:hint="eastAsia" w:ascii="Times New Roman" w:hAnsi="Times New Roman" w:eastAsia="新宋体" w:cs="Times New Roman"/>
                <w:color w:val="000000" w:themeColor="text1"/>
                <w:szCs w:val="24"/>
                <w:highlight w:val="none"/>
              </w:rPr>
              <w:br w:type="textWrapping"/>
            </w:r>
            <w:r>
              <w:rPr>
                <w:rFonts w:hint="eastAsia" w:ascii="Times New Roman" w:hAnsi="Times New Roman" w:eastAsia="新宋体" w:cs="Times New Roman"/>
                <w:color w:val="000000" w:themeColor="text1"/>
                <w:szCs w:val="24"/>
                <w:highlight w:val="none"/>
              </w:rPr>
              <w:t>【认定标准】：常驻机构为总公司或分公司的，提供营业执照复印件。常驻机构为办事处的，提供办公场所证明（房屋产权证或租赁合同复印件：若提供房屋产权证，产权证上的所有人为投标人或其法定代表人；若提供租赁合同，合同的承租人为投标人或其法定代表人）；如房屋产权证还未办理完毕，需提供其他相关证明。以上所有复印件加盖投标人公章，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7704" w:type="dxa"/>
            <w:gridSpan w:val="2"/>
            <w:tcBorders>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技术部分(10分)：技术部分评委打分保留至小数点后一位，投标人技术部分最终得分取所有评委的算术平均值。算术平均值得分保留至小数点后两位，第三位“四舍五入”。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251" w:hRule="atLeast"/>
        </w:trPr>
        <w:tc>
          <w:tcPr>
            <w:tcW w:w="743"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5"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2316" w:type="dxa"/>
            <w:tcBorders>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整体技术解决方案</w:t>
            </w:r>
          </w:p>
          <w:p>
            <w:pPr>
              <w:widowControl/>
              <w:spacing w:line="240" w:lineRule="atLeast"/>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(10分)</w:t>
            </w:r>
          </w:p>
        </w:tc>
        <w:tc>
          <w:tcPr>
            <w:tcW w:w="5388" w:type="dxa"/>
            <w:tcBorders>
              <w:left w:val="single" w:color="auto" w:sz="4" w:space="0"/>
              <w:bottom w:val="single" w:color="auto" w:sz="4" w:space="0"/>
              <w:right w:val="single" w:color="auto" w:sz="4" w:space="0"/>
            </w:tcBorders>
            <w:vAlign w:val="center"/>
          </w:tcPr>
          <w:p>
            <w:pPr>
              <w:widowControl/>
              <w:spacing w:line="240" w:lineRule="atLeast"/>
              <w:jc w:val="left"/>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人针对本项目的建设内容提供完整详实的项目实施方案，包括但不限于：对本项目目标、业务需求和建设内容的理解，业界先进的业务发展趋势和业务流程、规则的借鉴建议，解决方案或原型产品对于本项目需求的覆盖对应情况，解决方案的应用和技术架构、技术标准和软硬件要求,包括与背夹接入的方案、安全设计、可靠性设计、预期性能指标，以及项目实施过程的项目管理（如计划、风险、质量管理等）方案。</w:t>
            </w:r>
          </w:p>
          <w:p>
            <w:pPr>
              <w:widowControl/>
              <w:spacing w:line="240" w:lineRule="atLeast"/>
              <w:jc w:val="left"/>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【认定标准】</w:t>
            </w:r>
          </w:p>
          <w:p>
            <w:pPr>
              <w:widowControl/>
              <w:spacing w:line="240" w:lineRule="atLeast"/>
              <w:jc w:val="left"/>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(1)评审专家根据项目实施方案的完整性、先进性、准确性、前瞻性等综合评分，评价最优得10分，其余的酌情扣分。（2）投标人根据招标要求提供项目实施方案。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评标程序</w:t>
            </w:r>
          </w:p>
        </w:tc>
        <w:tc>
          <w:tcPr>
            <w:tcW w:w="7704"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000000" w:themeColor="text1"/>
                <w:sz w:val="24"/>
                <w:szCs w:val="24"/>
                <w:highlight w:val="none"/>
              </w:rPr>
            </w:pPr>
            <w:r>
              <w:rPr>
                <w:rFonts w:hint="eastAsia" w:ascii="Times New Roman" w:hAnsi="Times New Roman" w:eastAsia="新宋体" w:cs="Times New Roman"/>
                <w:color w:val="000000" w:themeColor="text1"/>
                <w:szCs w:val="24"/>
                <w:highlight w:val="none"/>
              </w:rPr>
              <w:t>评标委员会首先按照本附表2.1.1～2.1.3对投标人进行初步审查，再对初步审查合格的投标人，按照本附表2.2.2规定的标准和分值进行详细评审。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4396" w:type="dxa"/>
          <w:trHeight w:val="786" w:hRule="atLeast"/>
        </w:trPr>
        <w:tc>
          <w:tcPr>
            <w:tcW w:w="2078" w:type="dxa"/>
            <w:gridSpan w:val="2"/>
            <w:tcBorders>
              <w:top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复核</w:t>
            </w:r>
          </w:p>
        </w:tc>
        <w:tc>
          <w:tcPr>
            <w:tcW w:w="7704"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招标人有权取消虚假应标的投标人的中标资格并没收投标保证金，如采用虚假成功案例投标等。</w:t>
            </w:r>
          </w:p>
        </w:tc>
      </w:tr>
    </w:tbl>
    <w:p>
      <w:pPr>
        <w:spacing w:line="400" w:lineRule="exact"/>
        <w:rPr>
          <w:rFonts w:ascii="宋体" w:hAnsi="宋体" w:eastAsia="宋体" w:cs="Times New Roman"/>
          <w:color w:val="000000" w:themeColor="text1"/>
          <w:highlight w:val="none"/>
        </w:rPr>
      </w:pPr>
    </w:p>
    <w:p>
      <w:pPr>
        <w:spacing w:line="400" w:lineRule="exact"/>
        <w:rPr>
          <w:rFonts w:ascii="宋体" w:hAnsi="宋体" w:eastAsia="宋体" w:cs="Times New Roman"/>
          <w:color w:val="000000" w:themeColor="text1"/>
          <w:highlight w:val="none"/>
        </w:rPr>
      </w:pPr>
      <w:r>
        <w:rPr>
          <w:rFonts w:ascii="宋体" w:hAnsi="宋体" w:eastAsia="宋体" w:cs="Times New Roman"/>
          <w:color w:val="000000" w:themeColor="text1"/>
          <w:highlight w:val="none"/>
        </w:rPr>
        <w:br w:type="page"/>
      </w:r>
    </w:p>
    <w:p>
      <w:pPr>
        <w:spacing w:line="400" w:lineRule="exact"/>
        <w:rPr>
          <w:rFonts w:ascii="宋体" w:hAnsi="宋体" w:eastAsia="宋体" w:cs="Times New Roman"/>
          <w:color w:val="000000" w:themeColor="text1"/>
          <w:highlight w:val="none"/>
        </w:rPr>
      </w:pPr>
    </w:p>
    <w:p>
      <w:pPr>
        <w:spacing w:line="400" w:lineRule="exact"/>
        <w:rPr>
          <w:rFonts w:ascii="宋体" w:hAnsi="宋体" w:eastAsia="宋体" w:cs="Times New Roman"/>
          <w:color w:val="000000" w:themeColor="text1"/>
          <w:highlight w:val="none"/>
        </w:rPr>
      </w:pPr>
      <w:r>
        <w:rPr>
          <w:rFonts w:hint="eastAsia" w:ascii="Times New Roman" w:hAnsi="Times New Roman" w:cs="Times New Roman"/>
          <w:color w:val="000000" w:themeColor="text1"/>
          <w:spacing w:val="-1"/>
          <w:highlight w:val="none"/>
          <w:lang w:val="ru-RU"/>
        </w:rPr>
        <w:t>分包二：移动展业平台配套硬件</w:t>
      </w:r>
    </w:p>
    <w:tbl>
      <w:tblPr>
        <w:tblStyle w:val="55"/>
        <w:tblW w:w="1003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334"/>
        <w:gridCol w:w="1059"/>
        <w:gridCol w:w="1256"/>
        <w:gridCol w:w="53"/>
        <w:gridCol w:w="5336"/>
        <w:gridCol w:w="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207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条款号</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评审因素</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b/>
                <w:color w:val="000000" w:themeColor="text1"/>
                <w:szCs w:val="21"/>
                <w:highlight w:val="none"/>
              </w:rPr>
            </w:pPr>
            <w:r>
              <w:rPr>
                <w:rFonts w:ascii="Times New Roman" w:hAnsi="Times New Roman" w:eastAsia="宋体" w:cs="Times New Roman"/>
                <w:b/>
                <w:color w:val="000000" w:themeColor="text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2.1.1</w:t>
            </w:r>
          </w:p>
        </w:tc>
        <w:tc>
          <w:tcPr>
            <w:tcW w:w="133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形式评审标准</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投标</w:t>
            </w:r>
            <w:r>
              <w:rPr>
                <w:rFonts w:hint="eastAsia" w:ascii="Times New Roman" w:hAnsi="Times New Roman" w:eastAsia="宋体" w:cs="Times New Roman"/>
                <w:color w:val="000000" w:themeColor="text1"/>
                <w:szCs w:val="21"/>
                <w:highlight w:val="none"/>
              </w:rPr>
              <w:t>保证金</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与</w:t>
            </w:r>
            <w:r>
              <w:rPr>
                <w:rFonts w:hint="eastAsia" w:ascii="Times New Roman" w:hAnsi="Times New Roman" w:eastAsia="宋体" w:cs="Times New Roman"/>
                <w:color w:val="000000" w:themeColor="text1"/>
                <w:szCs w:val="21"/>
                <w:highlight w:val="none"/>
              </w:rPr>
              <w:t>投标人名称</w:t>
            </w:r>
            <w:r>
              <w:rPr>
                <w:rFonts w:ascii="Times New Roman" w:hAnsi="Times New Roman" w:eastAsia="宋体" w:cs="Times New Roman"/>
                <w:color w:val="000000" w:themeColor="text1"/>
                <w:szCs w:val="21"/>
                <w:highlight w:val="none"/>
              </w:rPr>
              <w:t>一致</w:t>
            </w:r>
            <w:r>
              <w:rPr>
                <w:rFonts w:hint="eastAsia" w:ascii="Times New Roman" w:hAnsi="Times New Roman" w:eastAsia="宋体" w:cs="Times New Roman"/>
                <w:color w:val="000000" w:themeColor="text1"/>
                <w:szCs w:val="21"/>
                <w:highlight w:val="none"/>
              </w:rPr>
              <w:t>，并</w:t>
            </w:r>
            <w:r>
              <w:rPr>
                <w:rFonts w:ascii="Times New Roman" w:hAnsi="Times New Roman" w:eastAsia="宋体" w:cs="Times New Roman"/>
                <w:color w:val="000000" w:themeColor="text1"/>
                <w:szCs w:val="21"/>
                <w:highlight w:val="none"/>
              </w:rPr>
              <w:t>符合</w:t>
            </w:r>
            <w:r>
              <w:rPr>
                <w:rFonts w:hint="eastAsia" w:ascii="宋体" w:hAnsi="宋体" w:cs="宋体"/>
                <w:color w:val="000000" w:themeColor="text1"/>
                <w:kern w:val="0"/>
                <w:highlight w:val="none"/>
              </w:rPr>
              <w:t>招标文件规定的金额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投标文件的签署及盖章</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highlight w:val="none"/>
              </w:rPr>
            </w:pPr>
            <w:r>
              <w:rPr>
                <w:rFonts w:hint="eastAsia" w:ascii="宋体" w:hAnsi="宋体" w:eastAsia="宋体" w:cs="宋体"/>
                <w:color w:val="000000" w:themeColor="text1"/>
                <w:kern w:val="0"/>
                <w:szCs w:val="21"/>
                <w:highlight w:val="none"/>
              </w:rPr>
              <w:t>投标文件</w:t>
            </w:r>
            <w:r>
              <w:rPr>
                <w:rFonts w:hint="eastAsia" w:ascii="Times New Roman" w:hAnsi="Times New Roman" w:eastAsia="宋体" w:cs="Times New Roman"/>
                <w:color w:val="000000" w:themeColor="text1"/>
                <w:szCs w:val="21"/>
                <w:highlight w:val="none"/>
              </w:rPr>
              <w:t>格式</w:t>
            </w:r>
            <w:r>
              <w:rPr>
                <w:rFonts w:hint="eastAsia" w:ascii="宋体" w:hAnsi="宋体" w:eastAsia="宋体" w:cs="宋体"/>
                <w:color w:val="000000" w:themeColor="text1"/>
                <w:kern w:val="0"/>
                <w:szCs w:val="21"/>
                <w:highlight w:val="none"/>
              </w:rPr>
              <w:t>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委托代理人</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报价唯一</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2.1.2</w:t>
            </w:r>
          </w:p>
        </w:tc>
        <w:tc>
          <w:tcPr>
            <w:tcW w:w="1334"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资格评审标准</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营业执照</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4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1334" w:type="dxa"/>
            <w:vMerge w:val="continue"/>
            <w:tcBorders>
              <w:top w:val="nil"/>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 w:val="24"/>
                <w:szCs w:val="24"/>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其它资格条件要求</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符合第二章</w:t>
            </w:r>
            <w:r>
              <w:rPr>
                <w:rFonts w:ascii="Times New Roman" w:hAnsi="Times New Roman" w:eastAsia="宋体" w:cs="Times New Roman"/>
                <w:b/>
                <w:color w:val="000000" w:themeColor="text1"/>
                <w:szCs w:val="21"/>
                <w:highlight w:val="none"/>
              </w:rPr>
              <w:t>投标人须知</w:t>
            </w:r>
            <w:r>
              <w:rPr>
                <w:rFonts w:hint="eastAsia" w:ascii="Times New Roman" w:hAnsi="Times New Roman" w:eastAsia="宋体" w:cs="Times New Roman"/>
                <w:b/>
                <w:color w:val="000000" w:themeColor="text1"/>
                <w:szCs w:val="21"/>
                <w:highlight w:val="none"/>
              </w:rPr>
              <w:t>前附表</w:t>
            </w:r>
            <w:r>
              <w:rPr>
                <w:rFonts w:hint="eastAsia" w:ascii="Times New Roman" w:hAnsi="Times New Roman" w:eastAsia="宋体" w:cs="Times New Roman"/>
                <w:color w:val="000000" w:themeColor="text1"/>
                <w:szCs w:val="21"/>
                <w:highlight w:val="none"/>
              </w:rPr>
              <w:t>2.6、2.7</w:t>
            </w:r>
            <w:r>
              <w:rPr>
                <w:rFonts w:ascii="Times New Roman" w:hAnsi="Times New Roman" w:eastAsia="宋体" w:cs="Times New Roman"/>
                <w:color w:val="000000" w:themeColor="text1"/>
                <w:szCs w:val="21"/>
                <w:highlight w:val="none"/>
              </w:rPr>
              <w:t>项规定</w:t>
            </w:r>
          </w:p>
        </w:tc>
        <w:tc>
          <w:tcPr>
            <w:tcW w:w="255" w:type="dxa"/>
          </w:tcPr>
          <w:p>
            <w:pPr>
              <w:widowControl/>
              <w:jc w:val="lef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2.1.3</w:t>
            </w:r>
          </w:p>
        </w:tc>
        <w:tc>
          <w:tcPr>
            <w:tcW w:w="1334" w:type="dxa"/>
            <w:vMerge w:val="restart"/>
            <w:tcBorders>
              <w:top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响应性评审</w:t>
            </w:r>
          </w:p>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标准</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货物规格型号及数量</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1.5</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供货时间</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1.6</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投标报价</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pStyle w:val="12"/>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（1）本分包采购预算：80万元，投标人投标总报价不得超过该分包采购预算，否则为废标。</w:t>
            </w:r>
          </w:p>
          <w:p>
            <w:pPr>
              <w:rPr>
                <w:rFonts w:ascii="Times New Roman" w:hAnsi="Times New Roman" w:eastAsia="新宋体" w:cs="Times New Roman"/>
                <w:b/>
                <w:color w:val="000000" w:themeColor="text1"/>
                <w:szCs w:val="24"/>
                <w:highlight w:val="none"/>
              </w:rPr>
            </w:pPr>
            <w:r>
              <w:rPr>
                <w:rFonts w:hint="eastAsia" w:ascii="Times New Roman" w:hAnsi="Times New Roman" w:eastAsia="宋体" w:cs="Times New Roman"/>
                <w:color w:val="000000" w:themeColor="text1"/>
                <w:szCs w:val="21"/>
                <w:highlight w:val="none"/>
              </w:rPr>
              <w:t>（2）单台设备报价不得超过4000元/台，否则作废标处理。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363"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商务符合性</w:t>
            </w:r>
          </w:p>
        </w:tc>
        <w:tc>
          <w:tcPr>
            <w:tcW w:w="5389"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363"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技术符合性</w:t>
            </w:r>
          </w:p>
        </w:tc>
        <w:tc>
          <w:tcPr>
            <w:tcW w:w="5389" w:type="dxa"/>
            <w:gridSpan w:val="2"/>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符合技术符合性应答表中的要求（无负偏离）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投标有效期</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符合第二章第一节</w:t>
            </w:r>
            <w:r>
              <w:rPr>
                <w:rFonts w:hint="eastAsia" w:ascii="Times New Roman" w:hAnsi="Times New Roman" w:eastAsia="新宋体" w:cs="Times New Roman"/>
                <w:b/>
                <w:color w:val="000000" w:themeColor="text1"/>
                <w:szCs w:val="24"/>
                <w:highlight w:val="none"/>
              </w:rPr>
              <w:t>投标人须知前附表</w:t>
            </w:r>
            <w:r>
              <w:rPr>
                <w:rFonts w:hint="eastAsia" w:ascii="Times New Roman" w:hAnsi="Times New Roman" w:eastAsia="新宋体" w:cs="Times New Roman"/>
                <w:color w:val="000000" w:themeColor="text1"/>
                <w:szCs w:val="24"/>
                <w:highlight w:val="none"/>
              </w:rPr>
              <w:t>第</w:t>
            </w:r>
            <w:r>
              <w:rPr>
                <w:rFonts w:ascii="Times New Roman" w:hAnsi="Times New Roman" w:eastAsia="新宋体" w:cs="Times New Roman"/>
                <w:color w:val="000000" w:themeColor="text1"/>
                <w:szCs w:val="24"/>
                <w:highlight w:val="none"/>
              </w:rPr>
              <w:t>13</w:t>
            </w:r>
            <w:r>
              <w:rPr>
                <w:rFonts w:hint="eastAsia" w:ascii="Times New Roman" w:hAnsi="Times New Roman" w:eastAsia="新宋体" w:cs="Times New Roman"/>
                <w:color w:val="000000" w:themeColor="text1"/>
                <w:szCs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Pr>
        <w:tc>
          <w:tcPr>
            <w:tcW w:w="744"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231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实质性要求</w:t>
            </w:r>
          </w:p>
        </w:tc>
        <w:tc>
          <w:tcPr>
            <w:tcW w:w="538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符合招标文件规定的其他实质性要求。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8" w:hRule="atLeast"/>
        </w:trPr>
        <w:tc>
          <w:tcPr>
            <w:tcW w:w="744" w:type="dxa"/>
            <w:tcBorders>
              <w:bottom w:val="single" w:color="auto" w:sz="4" w:space="0"/>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2.2.1</w:t>
            </w:r>
          </w:p>
        </w:tc>
        <w:tc>
          <w:tcPr>
            <w:tcW w:w="1334" w:type="dxa"/>
            <w:tcBorders>
              <w:bottom w:val="single" w:color="auto" w:sz="4" w:space="0"/>
              <w:right w:val="single" w:color="auto" w:sz="4" w:space="0"/>
            </w:tcBorders>
            <w:vAlign w:val="center"/>
          </w:tcPr>
          <w:p>
            <w:pPr>
              <w:adjustRightInd w:val="0"/>
              <w:snapToGrid w:val="0"/>
              <w:spacing w:line="320" w:lineRule="atLeast"/>
              <w:rPr>
                <w:rFonts w:ascii="Arial" w:hAnsi="Arial" w:eastAsia="宋体" w:cs="Arial"/>
                <w:color w:val="000000" w:themeColor="text1"/>
                <w:highlight w:val="none"/>
              </w:rPr>
            </w:pPr>
            <w:r>
              <w:rPr>
                <w:rFonts w:ascii="Arial" w:hAnsi="Arial" w:eastAsia="宋体" w:cs="Arial"/>
                <w:color w:val="000000" w:themeColor="text1"/>
                <w:highlight w:val="none"/>
              </w:rPr>
              <w:t>分值构成</w:t>
            </w:r>
            <w:r>
              <w:rPr>
                <w:rFonts w:hint="eastAsia" w:ascii="Arial" w:hAnsi="Arial" w:eastAsia="宋体" w:cs="Arial"/>
                <w:color w:val="000000" w:themeColor="text1"/>
                <w:highlight w:val="none"/>
              </w:rPr>
              <w:t>(100分)</w:t>
            </w:r>
          </w:p>
        </w:tc>
        <w:tc>
          <w:tcPr>
            <w:tcW w:w="7704"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报价部</w:t>
            </w:r>
            <w:r>
              <w:rPr>
                <w:rFonts w:hint="eastAsia" w:ascii="宋体" w:hAnsi="宋体" w:eastAsia="宋体" w:cs="宋体"/>
                <w:color w:val="000000" w:themeColor="text1"/>
                <w:kern w:val="0"/>
                <w:sz w:val="20"/>
                <w:szCs w:val="20"/>
                <w:highlight w:val="none"/>
              </w:rPr>
              <w:t>分（55分）</w:t>
            </w:r>
          </w:p>
          <w:p>
            <w:pPr>
              <w:spacing w:line="44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商务</w:t>
            </w:r>
            <w:r>
              <w:rPr>
                <w:rFonts w:hint="eastAsia" w:ascii="Times New Roman" w:hAnsi="Times New Roman" w:eastAsia="宋体" w:cs="Times New Roman"/>
                <w:color w:val="000000" w:themeColor="text1"/>
                <w:szCs w:val="21"/>
                <w:highlight w:val="none"/>
              </w:rPr>
              <w:t>部分</w:t>
            </w:r>
            <w:r>
              <w:rPr>
                <w:rFonts w:hint="eastAsia" w:ascii="宋体" w:hAnsi="宋体" w:eastAsia="宋体" w:cs="宋体"/>
                <w:color w:val="000000" w:themeColor="text1"/>
                <w:kern w:val="0"/>
                <w:sz w:val="20"/>
                <w:szCs w:val="20"/>
                <w:highlight w:val="none"/>
              </w:rPr>
              <w:t>（30分）</w:t>
            </w:r>
          </w:p>
          <w:p>
            <w:pPr>
              <w:spacing w:line="440" w:lineRule="exact"/>
              <w:jc w:val="left"/>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技术部分（15分）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1624" w:hRule="atLeast"/>
        </w:trPr>
        <w:tc>
          <w:tcPr>
            <w:tcW w:w="744" w:type="dxa"/>
            <w:vMerge w:val="restart"/>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2.2.2</w:t>
            </w:r>
          </w:p>
        </w:tc>
        <w:tc>
          <w:tcPr>
            <w:tcW w:w="1334" w:type="dxa"/>
            <w:vMerge w:val="restart"/>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r>
              <w:rPr>
                <w:rFonts w:hint="eastAsia" w:ascii="Arial" w:hAnsi="Arial" w:eastAsia="宋体" w:cs="Arial"/>
                <w:color w:val="000000" w:themeColor="text1"/>
                <w:highlight w:val="none"/>
              </w:rPr>
              <w:t>评分标准</w:t>
            </w:r>
          </w:p>
        </w:tc>
        <w:tc>
          <w:tcPr>
            <w:tcW w:w="10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报价部分（55分）</w:t>
            </w:r>
          </w:p>
          <w:p>
            <w:pPr>
              <w:widowControl/>
              <w:ind w:firstLine="420" w:firstLineChars="200"/>
              <w:rPr>
                <w:rFonts w:ascii="宋体" w:hAnsi="宋体" w:eastAsia="宋体" w:cs="Times New Roman"/>
                <w:color w:val="000000" w:themeColor="text1"/>
                <w:szCs w:val="24"/>
                <w:highlight w:val="none"/>
              </w:rPr>
            </w:pPr>
          </w:p>
        </w:tc>
        <w:tc>
          <w:tcPr>
            <w:tcW w:w="1256" w:type="dxa"/>
            <w:tcBorders>
              <w:top w:val="single" w:color="auto" w:sz="4" w:space="0"/>
              <w:left w:val="single" w:color="auto" w:sz="4" w:space="0"/>
              <w:bottom w:val="nil"/>
              <w:right w:val="single" w:color="auto" w:sz="4" w:space="0"/>
            </w:tcBorders>
            <w:vAlign w:val="center"/>
          </w:tcPr>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投标</w:t>
            </w:r>
          </w:p>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总报价</w:t>
            </w:r>
          </w:p>
          <w:p>
            <w:pPr>
              <w:jc w:val="cente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（55分）</w:t>
            </w:r>
          </w:p>
        </w:tc>
        <w:tc>
          <w:tcPr>
            <w:tcW w:w="5389" w:type="dxa"/>
            <w:gridSpan w:val="2"/>
            <w:tcBorders>
              <w:top w:val="single" w:color="auto" w:sz="4" w:space="0"/>
              <w:left w:val="single" w:color="auto" w:sz="4" w:space="0"/>
              <w:bottom w:val="nil"/>
              <w:right w:val="single" w:color="auto" w:sz="4" w:space="0"/>
            </w:tcBorders>
            <w:vAlign w:val="center"/>
          </w:tcPr>
          <w:p>
            <w:pPr>
              <w:widowControl/>
              <w:ind w:firstLine="420" w:firstLineChars="200"/>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初步评审合格的各投标总报价算术平均值下浮5%为评标基准价（满分55分），各有效投标总报价与评标基准价相比，每高1%扣1分，每低1%扣0.5分，扣完为止。按插入法计算得分。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continue"/>
            <w:tcBorders>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p>
        </w:tc>
        <w:tc>
          <w:tcPr>
            <w:tcW w:w="6645" w:type="dxa"/>
            <w:gridSpan w:val="3"/>
            <w:tcBorders>
              <w:top w:val="single" w:color="auto" w:sz="4" w:space="0"/>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评标委员会认为投标人的报价明显低于其他通过符合性审查投标人的报价，有可能影响产品质量或者不能诚信履约的，有权要求该投标人在评标现场合理时间内提供书面说明，必要时提交相关证明材料。投标人拒绝书面说明或不能证明其报价合理性的，评标委员会有权将其作为无效投标处理，其报价不能参与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restart"/>
            <w:tcBorders>
              <w:top w:val="single" w:color="auto" w:sz="4" w:space="0"/>
              <w:left w:val="single" w:color="auto" w:sz="4" w:space="0"/>
              <w:right w:val="single" w:color="auto" w:sz="4" w:space="0"/>
            </w:tcBorders>
            <w:vAlign w:val="center"/>
          </w:tcPr>
          <w:p>
            <w:pPr>
              <w:widowControl/>
              <w:ind w:firstLine="200" w:firstLineChars="100"/>
              <w:rPr>
                <w:rFonts w:ascii="宋体" w:hAnsi="宋体" w:eastAsia="宋体" w:cs="Times New Roman"/>
                <w:color w:val="000000" w:themeColor="text1"/>
                <w:szCs w:val="24"/>
                <w:highlight w:val="none"/>
              </w:rPr>
            </w:pPr>
            <w:r>
              <w:rPr>
                <w:rFonts w:hint="eastAsia" w:ascii="宋体" w:hAnsi="宋体" w:eastAsia="宋体" w:cs="宋体"/>
                <w:color w:val="000000" w:themeColor="text1"/>
                <w:kern w:val="0"/>
                <w:sz w:val="20"/>
                <w:szCs w:val="20"/>
                <w:highlight w:val="none"/>
              </w:rPr>
              <w:t>商务</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（30分）</w:t>
            </w:r>
          </w:p>
        </w:tc>
        <w:tc>
          <w:tcPr>
            <w:tcW w:w="1309" w:type="dxa"/>
            <w:gridSpan w:val="2"/>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业绩情况15</w:t>
            </w:r>
          </w:p>
        </w:tc>
        <w:tc>
          <w:tcPr>
            <w:tcW w:w="5336" w:type="dxa"/>
            <w:tcBorders>
              <w:top w:val="single" w:color="auto" w:sz="4" w:space="0"/>
              <w:left w:val="single" w:color="auto" w:sz="4" w:space="0"/>
              <w:bottom w:val="nil"/>
              <w:right w:val="single" w:color="auto" w:sz="4" w:space="0"/>
            </w:tcBorders>
          </w:tcPr>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1、【评审标准】：提供2015年1月1日（含）至本招标文件发出日期间（案例时间以合同时间为准）投标人所提供移动的背夹或移动智能终端与银行业金融机构合作的合同案例。</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2、【计分规则】：每一小项得分加总计算。</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（1）在国有五大银行(工、农、中、建、交)总行或全国性股份制商业银行总行有中标入围通知书或销售合同，每有一个得2分；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（2）在国有五大银行(工、农、中、建、交)分行、全国性股份制商业银行分行或其他地方银行总行有中标入围通知书或销售合同，每有一个得1分。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3、【评审依据】：投标人提供合同复印件，复印件应至少包含合同首页、服务或产品内容页及甲乙双方盖章页。并加盖投标人公章并注明“与原件一致”，原件备查。</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注：初步审查的业绩不能纳入本项计分，本项最高得15分。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vMerge w:val="continue"/>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vMerge w:val="continue"/>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continue"/>
            <w:tcBorders>
              <w:left w:val="single" w:color="auto" w:sz="4" w:space="0"/>
              <w:bottom w:val="single" w:color="auto" w:sz="4" w:space="0"/>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p>
        </w:tc>
        <w:tc>
          <w:tcPr>
            <w:tcW w:w="1309" w:type="dxa"/>
            <w:gridSpan w:val="2"/>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售后服务</w:t>
            </w:r>
          </w:p>
          <w:p>
            <w:pPr>
              <w:widowControl/>
              <w:jc w:val="center"/>
              <w:rPr>
                <w:rFonts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能力15</w:t>
            </w:r>
          </w:p>
        </w:tc>
        <w:tc>
          <w:tcPr>
            <w:tcW w:w="5336" w:type="dxa"/>
            <w:tcBorders>
              <w:top w:val="single" w:color="auto" w:sz="4" w:space="0"/>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一、服务机构（3分）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1、【评审标准】：投标人常驻机构个数。</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2、【计分规则】：投标人在重庆、成都、西安、贵阳地区均至少有一个常驻机构或授权服务机构的得1分，否则不得分；在此基础上每多一个常驻机构或授权服务机构的，加2分，本项累计最高得3分。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3、【评审依据】：常驻机构为总公司或分公司的，提供营业执照复印件。常驻机构为办事处的，提供办公场所证明（房屋产权证或租赁合同复印件：若提供房屋产权证，产权证上的所有人为投标人或其法定代表人；若提供租赁合同，合同的承租人为投标人或其法定代表人）；如房屋产权证还未办理完毕，需提供其他相关证明。以上所有复印件加盖投标人公章，原件备查。</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二、售后服务（12分）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1、【评审标准】：售后服务、免费维保期、售后服务方案。</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2、【计分规则】：每一小项得分加总计算</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售后人员保障（4分）:以所有投标人在重庆本地售后维保人员(投标人本单位员工)配备数量由高到低排序，排名第一的人数为基准人数，其价格得4分，其他投标人按“售后维保人数/基准人数*4”相应计分（四舍五入，保留小数点后两位）；</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（2）免费维保期（4分）:产品能提供3年免费维保服务的，得1分；在此基础上每增加一年（按一年整数计，不足一年的部分不计分），加1分。3年以下的得0分。本项累计最高得4分；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（3）售后服务方案（4分）以投标人提供的售后服务方案（服务承诺、预防性维护服务、响应时间、保修服务内容、应急措施等情况），横向比较，酌情评0-4分。</w:t>
            </w:r>
          </w:p>
          <w:p>
            <w:pPr>
              <w:widowControl/>
              <w:ind w:firstLine="420" w:firstLineChars="200"/>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3、【评审依据】：投标人提供售后服务人员名单（含资历情况及工作职责）、工作证复印件、2018年11月-2019年4月投标人或委托第三方公司代缴社保缴纳证明材料和提供的增值服务承诺、售后服务方案计算得分。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技术部分</w:t>
            </w:r>
          </w:p>
          <w:p>
            <w:pPr>
              <w:widowControl/>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（15分）</w:t>
            </w:r>
          </w:p>
        </w:tc>
        <w:tc>
          <w:tcPr>
            <w:tcW w:w="1309" w:type="dxa"/>
            <w:gridSpan w:val="2"/>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认证证书</w:t>
            </w:r>
          </w:p>
          <w:p>
            <w:pPr>
              <w:widowControl/>
              <w:jc w:val="center"/>
              <w:rPr>
                <w:rFonts w:ascii="宋体" w:hAnsi="宋体" w:eastAsia="宋体" w:cs="宋体"/>
                <w:color w:val="000000" w:themeColor="text1"/>
                <w:kern w:val="0"/>
                <w:sz w:val="20"/>
                <w:szCs w:val="20"/>
                <w:highlight w:val="none"/>
              </w:rPr>
            </w:pPr>
            <w:r>
              <w:rPr>
                <w:rFonts w:hint="eastAsia" w:ascii="宋体" w:hAnsi="宋体" w:eastAsia="宋体" w:cs="Times New Roman"/>
                <w:color w:val="000000" w:themeColor="text1"/>
                <w:szCs w:val="24"/>
                <w:highlight w:val="none"/>
              </w:rPr>
              <w:t>9分</w:t>
            </w:r>
          </w:p>
        </w:tc>
        <w:tc>
          <w:tcPr>
            <w:tcW w:w="5336" w:type="dxa"/>
            <w:tcBorders>
              <w:top w:val="single" w:color="auto" w:sz="4" w:space="0"/>
              <w:left w:val="single" w:color="auto" w:sz="4" w:space="0"/>
              <w:bottom w:val="nil"/>
              <w:right w:val="single" w:color="auto" w:sz="4" w:space="0"/>
            </w:tcBorders>
            <w:vAlign w:val="center"/>
          </w:tcPr>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1、【评审标准】：投标人所提供产品的认证证书或测试报告</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2、【计分规则】：每一小项得分加总计算。本项最高得分10分。</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（1）提供投标产品的3C证书得2分</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（2）投标产品具有合格的“国家电子信息产品质量监督检测中心”测试报告得3分；如为其他质量监督检测中心的测试报告，得1分。</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（3</w:t>
            </w:r>
            <w:r>
              <w:rPr>
                <w:rFonts w:ascii="仿宋" w:hAnsi="仿宋" w:eastAsia="仿宋" w:cs="Arial"/>
                <w:color w:val="000000" w:themeColor="text1"/>
                <w:kern w:val="0"/>
                <w:sz w:val="24"/>
                <w:szCs w:val="24"/>
                <w:highlight w:val="none"/>
              </w:rPr>
              <w:t>）</w:t>
            </w:r>
            <w:r>
              <w:rPr>
                <w:rFonts w:hint="eastAsia" w:ascii="仿宋" w:hAnsi="仿宋" w:eastAsia="仿宋" w:cs="Arial"/>
                <w:color w:val="000000" w:themeColor="text1"/>
                <w:kern w:val="0"/>
                <w:sz w:val="24"/>
                <w:szCs w:val="24"/>
                <w:highlight w:val="none"/>
              </w:rPr>
              <w:t>测试报告中无故障时间大于等于</w:t>
            </w:r>
            <w:r>
              <w:rPr>
                <w:rFonts w:ascii="仿宋" w:hAnsi="仿宋" w:eastAsia="仿宋" w:cs="Arial"/>
                <w:color w:val="000000" w:themeColor="text1"/>
                <w:kern w:val="0"/>
                <w:sz w:val="24"/>
                <w:szCs w:val="24"/>
                <w:highlight w:val="none"/>
              </w:rPr>
              <w:t>20000h</w:t>
            </w:r>
            <w:r>
              <w:rPr>
                <w:rFonts w:hint="eastAsia" w:ascii="仿宋" w:hAnsi="仿宋" w:eastAsia="仿宋" w:cs="Arial"/>
                <w:color w:val="000000" w:themeColor="text1"/>
                <w:kern w:val="0"/>
                <w:sz w:val="24"/>
                <w:szCs w:val="24"/>
                <w:highlight w:val="none"/>
              </w:rPr>
              <w:t>得2分,其余得1分；若没有无故障时间描述不得分。</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（4</w:t>
            </w:r>
            <w:r>
              <w:rPr>
                <w:rFonts w:ascii="仿宋" w:hAnsi="仿宋" w:eastAsia="仿宋" w:cs="Arial"/>
                <w:color w:val="000000" w:themeColor="text1"/>
                <w:kern w:val="0"/>
                <w:sz w:val="24"/>
                <w:szCs w:val="24"/>
                <w:highlight w:val="none"/>
              </w:rPr>
              <w:t>）</w:t>
            </w:r>
            <w:r>
              <w:rPr>
                <w:rFonts w:hint="eastAsia" w:ascii="仿宋" w:hAnsi="仿宋" w:eastAsia="仿宋" w:cs="Arial"/>
                <w:color w:val="000000" w:themeColor="text1"/>
                <w:kern w:val="0"/>
                <w:sz w:val="24"/>
                <w:szCs w:val="24"/>
                <w:highlight w:val="none"/>
              </w:rPr>
              <w:t>投标产品拥有苹果MFI证书得1分。</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（5）投标产品拥有中国环境标志产品认证证书得1分。</w:t>
            </w:r>
          </w:p>
          <w:p>
            <w:pPr>
              <w:widowControl/>
              <w:rPr>
                <w:rFonts w:ascii="宋体" w:hAnsi="宋体" w:eastAsia="宋体" w:cs="Times New Roman"/>
                <w:color w:val="000000" w:themeColor="text1"/>
                <w:szCs w:val="24"/>
                <w:highlight w:val="none"/>
              </w:rPr>
            </w:pPr>
            <w:r>
              <w:rPr>
                <w:rFonts w:hint="eastAsia" w:ascii="仿宋" w:hAnsi="仿宋" w:eastAsia="仿宋" w:cs="Arial"/>
                <w:color w:val="000000" w:themeColor="text1"/>
                <w:kern w:val="0"/>
                <w:sz w:val="24"/>
                <w:szCs w:val="24"/>
                <w:highlight w:val="none"/>
              </w:rPr>
              <w:t>3、【评审依据】：投标人提供以上相关资质证书复印件及报告复印件，所有复印件加盖投标人公章并注明“与原件一致”，原件备查。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continue"/>
            <w:tcBorders>
              <w:left w:val="single" w:color="auto" w:sz="4" w:space="0"/>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p>
        </w:tc>
        <w:tc>
          <w:tcPr>
            <w:tcW w:w="1309" w:type="dxa"/>
            <w:gridSpan w:val="2"/>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color w:val="000000" w:themeColor="text1"/>
                <w:kern w:val="0"/>
                <w:sz w:val="20"/>
                <w:szCs w:val="20"/>
                <w:highlight w:val="none"/>
              </w:rPr>
            </w:pPr>
            <w:r>
              <w:rPr>
                <w:rFonts w:hint="eastAsia" w:ascii="宋体" w:hAnsi="宋体" w:eastAsia="宋体" w:cs="Times New Roman"/>
                <w:color w:val="000000" w:themeColor="text1"/>
                <w:szCs w:val="24"/>
                <w:highlight w:val="none"/>
              </w:rPr>
              <w:t>国密算法支持情况3分</w:t>
            </w:r>
          </w:p>
        </w:tc>
        <w:tc>
          <w:tcPr>
            <w:tcW w:w="5336" w:type="dxa"/>
            <w:tcBorders>
              <w:top w:val="single" w:color="auto" w:sz="4" w:space="0"/>
              <w:left w:val="single" w:color="auto" w:sz="4" w:space="0"/>
              <w:bottom w:val="nil"/>
              <w:right w:val="single" w:color="auto" w:sz="4" w:space="0"/>
            </w:tcBorders>
            <w:vAlign w:val="center"/>
          </w:tcPr>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1、【评审标准】：硬件加密国密算法支持情况</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2、【计分规则】：</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投标产品整体产品取得“商用密码产品型号证书”得3分，若是投标产品中部分模块取得“商用密码产品型号证书”得1分。</w:t>
            </w:r>
          </w:p>
          <w:p>
            <w:pPr>
              <w:widowControl/>
              <w:rPr>
                <w:rFonts w:ascii="宋体" w:hAnsi="宋体" w:eastAsia="宋体" w:cs="Times New Roman"/>
                <w:color w:val="000000" w:themeColor="text1"/>
                <w:szCs w:val="24"/>
                <w:highlight w:val="none"/>
              </w:rPr>
            </w:pPr>
            <w:r>
              <w:rPr>
                <w:rFonts w:hint="eastAsia" w:ascii="仿宋" w:hAnsi="仿宋" w:eastAsia="仿宋" w:cs="Arial"/>
                <w:color w:val="000000" w:themeColor="text1"/>
                <w:kern w:val="0"/>
                <w:sz w:val="24"/>
                <w:szCs w:val="24"/>
                <w:highlight w:val="none"/>
              </w:rPr>
              <w:t>3、【评审依据】：投标人提供相关证明文件复印件并加盖投标人公章并注明“与原件一致”，原件备查。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continue"/>
            <w:tcBorders>
              <w:left w:val="single" w:color="auto" w:sz="4" w:space="0"/>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p>
        </w:tc>
        <w:tc>
          <w:tcPr>
            <w:tcW w:w="1309" w:type="dxa"/>
            <w:gridSpan w:val="2"/>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Times New Roman"/>
                <w:color w:val="000000" w:themeColor="text1"/>
                <w:szCs w:val="24"/>
                <w:highlight w:val="none"/>
              </w:rPr>
            </w:pPr>
            <w:r>
              <w:rPr>
                <w:rFonts w:hint="eastAsia" w:ascii="宋体" w:hAnsi="宋体" w:eastAsia="宋体" w:cs="Times New Roman"/>
                <w:color w:val="000000" w:themeColor="text1"/>
                <w:szCs w:val="24"/>
                <w:highlight w:val="none"/>
              </w:rPr>
              <w:t>设备参数</w:t>
            </w:r>
          </w:p>
          <w:p>
            <w:pPr>
              <w:widowControl/>
              <w:jc w:val="center"/>
              <w:rPr>
                <w:rFonts w:ascii="宋体" w:hAnsi="宋体" w:eastAsia="宋体" w:cs="宋体"/>
                <w:color w:val="000000" w:themeColor="text1"/>
                <w:kern w:val="0"/>
                <w:sz w:val="20"/>
                <w:szCs w:val="20"/>
                <w:highlight w:val="none"/>
              </w:rPr>
            </w:pPr>
            <w:r>
              <w:rPr>
                <w:rFonts w:hint="eastAsia" w:ascii="宋体" w:hAnsi="宋体" w:eastAsia="宋体" w:cs="Times New Roman"/>
                <w:color w:val="000000" w:themeColor="text1"/>
                <w:szCs w:val="24"/>
                <w:highlight w:val="none"/>
              </w:rPr>
              <w:t>3分</w:t>
            </w:r>
          </w:p>
        </w:tc>
        <w:tc>
          <w:tcPr>
            <w:tcW w:w="5336" w:type="dxa"/>
            <w:tcBorders>
              <w:top w:val="single" w:color="auto" w:sz="4" w:space="0"/>
              <w:left w:val="single" w:color="auto" w:sz="4" w:space="0"/>
              <w:bottom w:val="nil"/>
              <w:right w:val="single" w:color="auto" w:sz="4" w:space="0"/>
            </w:tcBorders>
            <w:vAlign w:val="center"/>
          </w:tcPr>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1、【评审标准】：设备参数配置</w:t>
            </w:r>
          </w:p>
          <w:p>
            <w:pPr>
              <w:widowControl/>
              <w:adjustRightInd w:val="0"/>
              <w:snapToGrid w:val="0"/>
              <w:spacing w:line="192" w:lineRule="auto"/>
              <w:jc w:val="left"/>
              <w:rPr>
                <w:rFonts w:ascii="仿宋" w:hAnsi="仿宋" w:eastAsia="仿宋" w:cs="Arial"/>
                <w:color w:val="000000" w:themeColor="text1"/>
                <w:kern w:val="0"/>
                <w:sz w:val="24"/>
                <w:szCs w:val="24"/>
                <w:highlight w:val="none"/>
              </w:rPr>
            </w:pPr>
            <w:r>
              <w:rPr>
                <w:rFonts w:hint="eastAsia" w:ascii="仿宋" w:hAnsi="仿宋" w:eastAsia="仿宋" w:cs="Arial"/>
                <w:color w:val="000000" w:themeColor="text1"/>
                <w:kern w:val="0"/>
                <w:sz w:val="24"/>
                <w:szCs w:val="24"/>
                <w:highlight w:val="none"/>
              </w:rPr>
              <w:t>2、【计分规则】：根据投标人对招标文件中技术要求的响应，综合评判，响应较好的，得2.1-3分，一般的，得1.1-2分，较差的，得0-1分</w:t>
            </w:r>
          </w:p>
          <w:p>
            <w:pPr>
              <w:widowControl/>
              <w:rPr>
                <w:rFonts w:ascii="宋体" w:hAnsi="宋体" w:eastAsia="宋体" w:cs="Times New Roman"/>
                <w:color w:val="000000" w:themeColor="text1"/>
                <w:szCs w:val="24"/>
                <w:highlight w:val="none"/>
              </w:rPr>
            </w:pPr>
            <w:r>
              <w:rPr>
                <w:rFonts w:hint="eastAsia" w:ascii="仿宋" w:hAnsi="仿宋" w:eastAsia="仿宋" w:cs="Arial"/>
                <w:color w:val="000000" w:themeColor="text1"/>
                <w:kern w:val="0"/>
                <w:sz w:val="24"/>
                <w:szCs w:val="24"/>
                <w:highlight w:val="none"/>
              </w:rPr>
              <w:t>3、【评审依据】：投标人提供的产品设备参数表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416" w:hRule="atLeast"/>
        </w:trPr>
        <w:tc>
          <w:tcPr>
            <w:tcW w:w="744" w:type="dxa"/>
            <w:tcBorders>
              <w:right w:val="single" w:color="auto" w:sz="4" w:space="0"/>
            </w:tcBorders>
            <w:vAlign w:val="center"/>
          </w:tcPr>
          <w:p>
            <w:pPr>
              <w:spacing w:line="440" w:lineRule="exact"/>
              <w:jc w:val="center"/>
              <w:rPr>
                <w:rFonts w:ascii="Times New Roman" w:hAnsi="Times New Roman" w:eastAsia="宋体" w:cs="Times New Roman"/>
                <w:color w:val="000000" w:themeColor="text1"/>
                <w:szCs w:val="21"/>
                <w:highlight w:val="none"/>
              </w:rPr>
            </w:pPr>
          </w:p>
        </w:tc>
        <w:tc>
          <w:tcPr>
            <w:tcW w:w="1334" w:type="dxa"/>
            <w:tcBorders>
              <w:right w:val="single" w:color="auto" w:sz="4" w:space="0"/>
            </w:tcBorders>
            <w:vAlign w:val="center"/>
          </w:tcPr>
          <w:p>
            <w:pPr>
              <w:adjustRightInd w:val="0"/>
              <w:snapToGrid w:val="0"/>
              <w:spacing w:line="500" w:lineRule="atLeast"/>
              <w:jc w:val="center"/>
              <w:rPr>
                <w:rFonts w:ascii="Arial" w:hAnsi="Arial" w:eastAsia="宋体" w:cs="Arial"/>
                <w:color w:val="000000" w:themeColor="text1"/>
                <w:highlight w:val="none"/>
              </w:rPr>
            </w:pPr>
          </w:p>
        </w:tc>
        <w:tc>
          <w:tcPr>
            <w:tcW w:w="1059" w:type="dxa"/>
            <w:vMerge w:val="continue"/>
            <w:tcBorders>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p>
        </w:tc>
        <w:tc>
          <w:tcPr>
            <w:tcW w:w="6645" w:type="dxa"/>
            <w:gridSpan w:val="3"/>
            <w:tcBorders>
              <w:top w:val="single" w:color="auto" w:sz="4" w:space="0"/>
              <w:left w:val="single" w:color="auto" w:sz="4" w:space="0"/>
              <w:bottom w:val="nil"/>
              <w:right w:val="single" w:color="auto" w:sz="4" w:space="0"/>
            </w:tcBorders>
            <w:vAlign w:val="center"/>
          </w:tcPr>
          <w:p>
            <w:pPr>
              <w:widowControl/>
              <w:ind w:firstLine="420" w:firstLineChars="200"/>
              <w:rPr>
                <w:rFonts w:ascii="宋体" w:hAnsi="宋体" w:eastAsia="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技术部分评委打分保留至小数点后一位，投标人技术部分最终得分取所有评委的算术平均值。算术平均值得分保留至小数点后两位，第三位“四舍五入”。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6" w:hRule="atLeast"/>
        </w:trPr>
        <w:tc>
          <w:tcPr>
            <w:tcW w:w="2078" w:type="dxa"/>
            <w:gridSpan w:val="2"/>
            <w:tcBorders>
              <w:top w:val="single" w:color="auto" w:sz="4" w:space="0"/>
              <w:bottom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评标程序</w:t>
            </w:r>
          </w:p>
        </w:tc>
        <w:tc>
          <w:tcPr>
            <w:tcW w:w="7704" w:type="dxa"/>
            <w:gridSpan w:val="4"/>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color w:val="000000" w:themeColor="text1"/>
                <w:sz w:val="24"/>
                <w:szCs w:val="24"/>
                <w:highlight w:val="none"/>
              </w:rPr>
            </w:pPr>
            <w:r>
              <w:rPr>
                <w:rFonts w:hint="eastAsia" w:ascii="Times New Roman" w:hAnsi="Times New Roman" w:eastAsia="新宋体" w:cs="Times New Roman"/>
                <w:color w:val="000000" w:themeColor="text1"/>
                <w:szCs w:val="24"/>
                <w:highlight w:val="none"/>
              </w:rPr>
              <w:t>评评标委员会首先按照本附表2.1.1～2.1.3对投标人进行初步审查，再对初步审查合格的投标人，按照本附表2.2.2规定的标准和分值进行详细评审。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255" w:type="dxa"/>
          <w:trHeight w:val="786" w:hRule="atLeast"/>
        </w:trPr>
        <w:tc>
          <w:tcPr>
            <w:tcW w:w="2078" w:type="dxa"/>
            <w:gridSpan w:val="2"/>
            <w:tcBorders>
              <w:top w:val="single" w:color="auto" w:sz="4" w:space="0"/>
              <w:right w:val="single" w:color="auto" w:sz="4" w:space="0"/>
            </w:tcBorders>
            <w:vAlign w:val="center"/>
          </w:tcPr>
          <w:p>
            <w:pPr>
              <w:adjustRightInd w:val="0"/>
              <w:snapToGrid w:val="0"/>
              <w:spacing w:line="500" w:lineRule="atLeast"/>
              <w:rPr>
                <w:rFonts w:ascii="Arial" w:hAnsi="Arial" w:eastAsia="宋体" w:cs="Arial"/>
                <w:color w:val="000000" w:themeColor="text1"/>
                <w:highlight w:val="none"/>
              </w:rPr>
            </w:pPr>
            <w:r>
              <w:rPr>
                <w:rFonts w:hint="eastAsia" w:ascii="Arial" w:hAnsi="Arial" w:eastAsia="宋体" w:cs="Arial"/>
                <w:color w:val="000000" w:themeColor="text1"/>
                <w:highlight w:val="none"/>
              </w:rPr>
              <w:t>复核</w:t>
            </w:r>
          </w:p>
        </w:tc>
        <w:tc>
          <w:tcPr>
            <w:tcW w:w="7704" w:type="dxa"/>
            <w:gridSpan w:val="4"/>
            <w:tcBorders>
              <w:top w:val="single" w:color="auto" w:sz="4" w:space="0"/>
              <w:left w:val="single" w:color="auto" w:sz="4" w:space="0"/>
              <w:right w:val="single" w:color="auto" w:sz="4" w:space="0"/>
            </w:tcBorders>
            <w:vAlign w:val="center"/>
          </w:tcPr>
          <w:p>
            <w:pPr>
              <w:rPr>
                <w:rFonts w:ascii="Times New Roman" w:hAnsi="Times New Roman" w:eastAsia="新宋体" w:cs="Times New Roman"/>
                <w:color w:val="000000" w:themeColor="text1"/>
                <w:szCs w:val="24"/>
                <w:highlight w:val="none"/>
              </w:rPr>
            </w:pPr>
            <w:r>
              <w:rPr>
                <w:rFonts w:hint="eastAsia" w:ascii="Times New Roman" w:hAnsi="Times New Roman" w:eastAsia="新宋体" w:cs="Times New Roman"/>
                <w:color w:val="000000" w:themeColor="text1"/>
                <w:szCs w:val="24"/>
                <w:highlight w:val="none"/>
              </w:rPr>
              <w:t>招标人有权取消虚假应标的投标人的中标资格并没收投标保证金，如采用虚假成功案例投标、投标文件中的技术参数与官方公开的技术参数复核不符等。</w:t>
            </w:r>
          </w:p>
        </w:tc>
      </w:tr>
    </w:tbl>
    <w:p>
      <w:pPr>
        <w:widowControl/>
        <w:spacing w:line="300" w:lineRule="auto"/>
        <w:jc w:val="center"/>
        <w:outlineLvl w:val="1"/>
        <w:rPr>
          <w:rFonts w:ascii="Times New Roman" w:hAnsi="Times New Roman" w:eastAsia="新宋体" w:cs="Times New Roman"/>
          <w:b/>
          <w:color w:val="000000" w:themeColor="text1"/>
          <w:sz w:val="28"/>
          <w:szCs w:val="28"/>
          <w:highlight w:val="none"/>
        </w:rPr>
      </w:pPr>
      <w:bookmarkStart w:id="117" w:name="_Toc450645164"/>
      <w:bookmarkStart w:id="118" w:name="_Toc26591"/>
      <w:bookmarkStart w:id="119" w:name="_Toc481146277"/>
    </w:p>
    <w:p>
      <w:pPr>
        <w:widowControl/>
        <w:spacing w:line="300" w:lineRule="auto"/>
        <w:jc w:val="center"/>
        <w:outlineLvl w:val="1"/>
        <w:rPr>
          <w:rFonts w:ascii="Times New Roman" w:hAnsi="Times New Roman" w:eastAsia="新宋体" w:cs="Times New Roman"/>
          <w:b/>
          <w:color w:val="000000" w:themeColor="text1"/>
          <w:sz w:val="28"/>
          <w:szCs w:val="28"/>
          <w:highlight w:val="none"/>
        </w:rPr>
      </w:pPr>
      <w:r>
        <w:rPr>
          <w:rFonts w:hint="eastAsia" w:ascii="Times New Roman" w:hAnsi="Times New Roman" w:eastAsia="新宋体" w:cs="Times New Roman"/>
          <w:b/>
          <w:color w:val="000000" w:themeColor="text1"/>
          <w:sz w:val="28"/>
          <w:szCs w:val="28"/>
          <w:highlight w:val="none"/>
        </w:rPr>
        <w:t>第二节</w:t>
      </w:r>
      <w:r>
        <w:rPr>
          <w:rFonts w:ascii="Times New Roman" w:hAnsi="Times New Roman" w:eastAsia="新宋体" w:cs="Times New Roman"/>
          <w:b/>
          <w:color w:val="000000" w:themeColor="text1"/>
          <w:sz w:val="28"/>
          <w:szCs w:val="28"/>
          <w:highlight w:val="none"/>
        </w:rPr>
        <w:t>　评标方法</w:t>
      </w:r>
      <w:bookmarkEnd w:id="117"/>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20" w:name="_Toc450645165"/>
      <w:r>
        <w:rPr>
          <w:rFonts w:hint="eastAsia" w:ascii="Times New Roman" w:hAnsi="Times New Roman" w:eastAsia="新宋体" w:cs="Times New Roman"/>
          <w:b/>
          <w:color w:val="000000" w:themeColor="text1"/>
          <w:sz w:val="24"/>
          <w:szCs w:val="24"/>
          <w:highlight w:val="none"/>
        </w:rPr>
        <w:t>1．评标方法</w:t>
      </w:r>
      <w:bookmarkEnd w:id="120"/>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评标委员会对满足招标文件实质性要求的投标文件，按照本章第2.2款规定的评分标准进行打分，并按各投标人总得分由高到低顺序推荐中标候选人，或根据招标人授权直接确定中标人，但投标报价低于其成本的除外。综合评分相等时，以投标总报价低的优先；投标总报价也相等时，以技术部分评分高的优先；技术部分评分也相同时，以商务部分评分高的优先；商务部分评分也相等时，由评标委员会投票表决确定中标候选人排位顺序。</w:t>
      </w:r>
      <w:r>
        <w:rPr>
          <w:rFonts w:ascii="Times New Roman" w:hAnsi="Times New Roman" w:eastAsia="新宋体" w:cs="Times New Roman"/>
          <w:color w:val="000000" w:themeColor="text1"/>
          <w:sz w:val="24"/>
          <w:szCs w:val="24"/>
          <w:highlight w:val="none"/>
        </w:rPr>
        <w:t>招标人不得在中标候选人之外确定中标人。</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21" w:name="_Toc419964545"/>
      <w:bookmarkStart w:id="122" w:name="_Toc450645166"/>
      <w:r>
        <w:rPr>
          <w:rFonts w:hint="eastAsia" w:ascii="Times New Roman" w:hAnsi="Times New Roman" w:eastAsia="新宋体" w:cs="Times New Roman"/>
          <w:b/>
          <w:color w:val="000000" w:themeColor="text1"/>
          <w:sz w:val="24"/>
          <w:szCs w:val="24"/>
          <w:highlight w:val="none"/>
        </w:rPr>
        <w:t>2. 评审标准</w:t>
      </w:r>
      <w:bookmarkEnd w:id="121"/>
      <w:bookmarkEnd w:id="122"/>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3" w:name="_Toc419964546"/>
      <w:r>
        <w:rPr>
          <w:rFonts w:hint="eastAsia" w:ascii="Times New Roman" w:hAnsi="Times New Roman" w:eastAsia="新宋体" w:cs="Times New Roman"/>
          <w:color w:val="000000" w:themeColor="text1"/>
          <w:sz w:val="24"/>
          <w:szCs w:val="24"/>
          <w:highlight w:val="none"/>
        </w:rPr>
        <w:t>2.1 初步评审标准</w:t>
      </w:r>
      <w:bookmarkEnd w:id="123"/>
    </w:p>
    <w:p>
      <w:pPr>
        <w:widowControl/>
        <w:spacing w:line="300" w:lineRule="auto"/>
        <w:ind w:firstLine="480" w:firstLineChars="200"/>
        <w:rPr>
          <w:rFonts w:ascii="Times New Roman" w:hAnsi="Times New Roman" w:eastAsia="新宋体" w:cs="Times New Roman"/>
          <w:b/>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2.1.1形式评审标准：见</w:t>
      </w:r>
      <w:r>
        <w:rPr>
          <w:rFonts w:hint="eastAsia" w:ascii="Times New Roman" w:hAnsi="Times New Roman" w:eastAsia="新宋体" w:cs="Times New Roman"/>
          <w:b/>
          <w:color w:val="000000" w:themeColor="text1"/>
          <w:sz w:val="24"/>
          <w:szCs w:val="24"/>
          <w:highlight w:val="none"/>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2.1.2资格评审标准：见</w:t>
      </w:r>
      <w:r>
        <w:rPr>
          <w:rFonts w:hint="eastAsia" w:ascii="Times New Roman" w:hAnsi="Times New Roman" w:eastAsia="新宋体" w:cs="Times New Roman"/>
          <w:b/>
          <w:color w:val="000000" w:themeColor="text1"/>
          <w:sz w:val="24"/>
          <w:szCs w:val="24"/>
          <w:highlight w:val="none"/>
        </w:rPr>
        <w:t>评标方法前附表</w:t>
      </w:r>
      <w:r>
        <w:rPr>
          <w:rFonts w:hint="eastAsia" w:ascii="Times New Roman" w:hAnsi="Times New Roman" w:eastAsia="新宋体" w:cs="Times New Roman"/>
          <w:color w:val="000000" w:themeColor="text1"/>
          <w:sz w:val="24"/>
          <w:szCs w:val="24"/>
          <w:highlight w:val="none"/>
        </w:rPr>
        <w:t>。</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2.1.3 响应性评审标准：见</w:t>
      </w:r>
      <w:r>
        <w:rPr>
          <w:rFonts w:hint="eastAsia" w:ascii="Times New Roman" w:hAnsi="Times New Roman" w:eastAsia="新宋体" w:cs="Times New Roman"/>
          <w:b/>
          <w:color w:val="000000" w:themeColor="text1"/>
          <w:sz w:val="24"/>
          <w:szCs w:val="24"/>
          <w:highlight w:val="none"/>
        </w:rPr>
        <w:t>评标方法前附表。</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4" w:name="_Toc419964547"/>
      <w:r>
        <w:rPr>
          <w:rFonts w:hint="eastAsia" w:ascii="Times New Roman" w:hAnsi="Times New Roman" w:eastAsia="新宋体" w:cs="Times New Roman"/>
          <w:color w:val="000000" w:themeColor="text1"/>
          <w:sz w:val="24"/>
          <w:szCs w:val="24"/>
          <w:highlight w:val="none"/>
        </w:rPr>
        <w:t>2.2 分值构成与评分标准</w:t>
      </w:r>
      <w:bookmarkEnd w:id="124"/>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2.2.1分值构成（100分）：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分包一：</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报价部分（60分）；商务部分（30分）；技术部分（10分）。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分包二：</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报价部分（55分）；商务部分（30分）；技术部分（15分）。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2.2.2 评分标准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ascii="Times New Roman" w:hAnsi="Times New Roman" w:eastAsia="新宋体" w:cs="Times New Roman"/>
          <w:color w:val="000000" w:themeColor="text1"/>
          <w:sz w:val="24"/>
          <w:szCs w:val="24"/>
          <w:highlight w:val="none"/>
        </w:rPr>
        <w:t>投标</w:t>
      </w:r>
      <w:r>
        <w:rPr>
          <w:rFonts w:hint="eastAsia" w:ascii="Times New Roman" w:hAnsi="Times New Roman" w:eastAsia="新宋体" w:cs="Times New Roman"/>
          <w:color w:val="000000" w:themeColor="text1"/>
          <w:sz w:val="24"/>
          <w:szCs w:val="24"/>
          <w:highlight w:val="none"/>
        </w:rPr>
        <w:t>总</w:t>
      </w:r>
      <w:r>
        <w:rPr>
          <w:rFonts w:ascii="Times New Roman" w:hAnsi="Times New Roman" w:eastAsia="新宋体" w:cs="Times New Roman"/>
          <w:color w:val="000000" w:themeColor="text1"/>
          <w:sz w:val="24"/>
          <w:szCs w:val="24"/>
          <w:highlight w:val="none"/>
        </w:rPr>
        <w:t>报价评分标准</w:t>
      </w:r>
      <w:r>
        <w:rPr>
          <w:rFonts w:hint="eastAsia" w:ascii="Times New Roman" w:hAnsi="Times New Roman" w:eastAsia="新宋体" w:cs="Times New Roman"/>
          <w:color w:val="000000" w:themeColor="text1"/>
          <w:sz w:val="24"/>
          <w:szCs w:val="24"/>
          <w:highlight w:val="none"/>
        </w:rPr>
        <w:t>：见评标方法前附表。</w:t>
      </w:r>
    </w:p>
    <w:p>
      <w:pPr>
        <w:widowControl/>
        <w:spacing w:line="300" w:lineRule="auto"/>
        <w:ind w:firstLine="482" w:firstLineChars="200"/>
        <w:outlineLvl w:val="2"/>
        <w:rPr>
          <w:rFonts w:ascii="Times New Roman" w:hAnsi="Times New Roman" w:eastAsia="新宋体" w:cs="Times New Roman"/>
          <w:b/>
          <w:color w:val="000000" w:themeColor="text1"/>
          <w:sz w:val="24"/>
          <w:szCs w:val="24"/>
          <w:highlight w:val="none"/>
        </w:rPr>
      </w:pPr>
      <w:bookmarkStart w:id="125" w:name="_Toc450645167"/>
      <w:bookmarkStart w:id="126" w:name="_Toc419964548"/>
      <w:r>
        <w:rPr>
          <w:rFonts w:hint="eastAsia" w:ascii="Times New Roman" w:hAnsi="Times New Roman" w:eastAsia="新宋体" w:cs="Times New Roman"/>
          <w:b/>
          <w:color w:val="000000" w:themeColor="text1"/>
          <w:sz w:val="24"/>
          <w:szCs w:val="24"/>
          <w:highlight w:val="none"/>
        </w:rPr>
        <w:t>3. 评标程序</w:t>
      </w:r>
      <w:bookmarkEnd w:id="125"/>
      <w:bookmarkEnd w:id="126"/>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7" w:name="_Toc419964549"/>
      <w:r>
        <w:rPr>
          <w:rFonts w:hint="eastAsia" w:ascii="Times New Roman" w:hAnsi="Times New Roman" w:eastAsia="新宋体" w:cs="Times New Roman"/>
          <w:color w:val="000000" w:themeColor="text1"/>
          <w:sz w:val="24"/>
          <w:szCs w:val="24"/>
          <w:highlight w:val="none"/>
        </w:rPr>
        <w:t>3.1 初步评审</w:t>
      </w:r>
      <w:bookmarkEnd w:id="127"/>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3.1.1评标委员会可以要求投标人提交第二章第一节“投标人须知前附表”第2.6条投标人资格要求规定的有关证件的原件，以便核验。评标委员会依据本章第一节</w:t>
      </w:r>
      <w:r>
        <w:rPr>
          <w:rFonts w:hint="eastAsia" w:ascii="Times New Roman" w:hAnsi="Times New Roman" w:eastAsia="新宋体" w:cs="Times New Roman"/>
          <w:b/>
          <w:color w:val="000000" w:themeColor="text1"/>
          <w:sz w:val="24"/>
          <w:szCs w:val="24"/>
          <w:highlight w:val="none"/>
        </w:rPr>
        <w:t>评标方法前附表</w:t>
      </w:r>
      <w:r>
        <w:rPr>
          <w:rFonts w:hint="eastAsia" w:ascii="Times New Roman" w:hAnsi="Times New Roman" w:eastAsia="新宋体" w:cs="Times New Roman"/>
          <w:color w:val="000000" w:themeColor="text1"/>
          <w:sz w:val="24"/>
          <w:szCs w:val="24"/>
          <w:highlight w:val="none"/>
        </w:rPr>
        <w:t>2.1.1、2.1.2、2.1.3款规定的标准对投标文件进行初步评审，有一项不符合评审标准的，其投标将被否决。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3.1.2 投标人有以下情形之一的，其投标将被否决：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（1）第二章第二节《投标人须知》第2.4条所规定的任何一种情形的；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（2）串通投标或弄虚作假或有其他违法行为的；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（3）不按评标委员会要求澄清、说明或补正的。</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3.1.3投标报价有算术错误的，评标委员会按以下原则对投标报价进行修正，修正的价格经投标人书面确认后具有约束力。投标人不接受修正价格的，其投标将被否决。</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（1）投标文件中的大写金额与小写金额不一致的，以大写金额为准；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（2）总价金额与依据单价计算出的结果不一致的，以单价金额为准修正总价，但单价金额小数点有明显错误的除外。</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（3）对不同文字文本投标文件的解释发生异议的，以中文文本为准。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8" w:name="_Toc419964550"/>
      <w:r>
        <w:rPr>
          <w:rFonts w:hint="eastAsia" w:ascii="Times New Roman" w:hAnsi="Times New Roman" w:eastAsia="新宋体" w:cs="Times New Roman"/>
          <w:color w:val="000000" w:themeColor="text1"/>
          <w:sz w:val="24"/>
          <w:szCs w:val="24"/>
          <w:highlight w:val="none"/>
        </w:rPr>
        <w:t>3.2 详细评审</w:t>
      </w:r>
      <w:bookmarkEnd w:id="128"/>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3.2.1评标委员会按本章第2.2款规定的评标因素和分值进行打分，并计算出得分。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3.2.2评分分值计算保留小数点后两位。</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3.2.3 投标人总得分=报价部分得分+商务部分得分+技术部分得分。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29" w:name="_Toc419964551"/>
      <w:r>
        <w:rPr>
          <w:rFonts w:hint="eastAsia" w:ascii="Times New Roman" w:hAnsi="Times New Roman" w:eastAsia="新宋体" w:cs="Times New Roman"/>
          <w:color w:val="000000" w:themeColor="text1"/>
          <w:sz w:val="24"/>
          <w:szCs w:val="24"/>
          <w:highlight w:val="none"/>
        </w:rPr>
        <w:t>3.3 投标文件的澄清和补正</w:t>
      </w:r>
      <w:bookmarkEnd w:id="129"/>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3.3.2 评标委员会对投标人提交的澄清、说明或补正有疑问的，可以要求投标人进一步澄清、说明或补正。</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3.3.3 澄清、说明和补正不得改变投标文件的实质性内容（算术性错误修正的除外）。投标人的书面澄清、说明和补正属于投标文件的组成部分。</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bookmarkStart w:id="130" w:name="_Toc419964552"/>
      <w:r>
        <w:rPr>
          <w:rFonts w:hint="eastAsia" w:ascii="Times New Roman" w:hAnsi="Times New Roman" w:eastAsia="新宋体" w:cs="Times New Roman"/>
          <w:color w:val="000000" w:themeColor="text1"/>
          <w:sz w:val="24"/>
          <w:szCs w:val="24"/>
          <w:highlight w:val="none"/>
        </w:rPr>
        <w:t>3.4 评标结果</w:t>
      </w:r>
      <w:bookmarkEnd w:id="130"/>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3.4.1除第二章“投标人须知前附表”授权直接确定中标人外，评标委员会按照得分由高到低的顺序推荐前三名为中标候选人。</w:t>
      </w:r>
    </w:p>
    <w:p>
      <w:pPr>
        <w:widowControl/>
        <w:spacing w:line="300" w:lineRule="auto"/>
        <w:ind w:firstLine="480" w:firstLineChars="200"/>
        <w:rPr>
          <w:rFonts w:ascii="Times New Roman" w:hAnsi="Times New Roman" w:eastAsia="新宋体" w:cs="Times New Roman"/>
          <w:color w:val="000000" w:themeColor="text1"/>
          <w:sz w:val="24"/>
          <w:szCs w:val="24"/>
          <w:highlight w:val="none"/>
        </w:rPr>
      </w:pPr>
      <w:r>
        <w:rPr>
          <w:rFonts w:hint="eastAsia" w:ascii="Times New Roman" w:hAnsi="Times New Roman" w:eastAsia="新宋体" w:cs="Times New Roman"/>
          <w:color w:val="000000" w:themeColor="text1"/>
          <w:sz w:val="24"/>
          <w:szCs w:val="24"/>
          <w:highlight w:val="none"/>
        </w:rPr>
        <w:t>3.4.2评标委员会完成评标后，应当向招标人提交书面评标报告。</w:t>
      </w:r>
    </w:p>
    <w:bookmarkEnd w:id="113"/>
    <w:bookmarkEnd w:id="114"/>
    <w:bookmarkEnd w:id="115"/>
    <w:bookmarkEnd w:id="116"/>
    <w:bookmarkEnd w:id="118"/>
    <w:bookmarkEnd w:id="119"/>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rPr>
      </w:pPr>
      <w:bookmarkStart w:id="131" w:name="_Toc489972852"/>
      <w:r>
        <w:rPr>
          <w:rFonts w:ascii="Calibri" w:hAnsi="Calibri" w:eastAsia="黑体" w:cs="Times New Roman"/>
          <w:b/>
          <w:bCs/>
          <w:color w:val="000000" w:themeColor="text1"/>
          <w:kern w:val="44"/>
          <w:sz w:val="44"/>
          <w:szCs w:val="44"/>
          <w:highlight w:val="none"/>
        </w:rPr>
        <w:br w:type="page"/>
      </w:r>
      <w:r>
        <w:rPr>
          <w:rFonts w:ascii="Calibri" w:hAnsi="Calibri" w:eastAsia="黑体" w:cs="Times New Roman"/>
          <w:b/>
          <w:bCs/>
          <w:color w:val="000000" w:themeColor="text1"/>
          <w:kern w:val="44"/>
          <w:sz w:val="44"/>
          <w:szCs w:val="44"/>
          <w:highlight w:val="none"/>
        </w:rPr>
        <w:t>第四章合同条款及格式</w:t>
      </w:r>
      <w:bookmarkEnd w:id="131"/>
      <w:r>
        <w:rPr>
          <w:rFonts w:hint="eastAsia" w:ascii="Calibri" w:hAnsi="Calibri" w:eastAsia="黑体" w:cs="Times New Roman"/>
          <w:b/>
          <w:bCs/>
          <w:color w:val="000000" w:themeColor="text1"/>
          <w:kern w:val="44"/>
          <w:sz w:val="44"/>
          <w:szCs w:val="44"/>
          <w:highlight w:val="none"/>
        </w:rPr>
        <w:t>（部分）</w:t>
      </w:r>
    </w:p>
    <w:p>
      <w:pPr>
        <w:rPr>
          <w:rFonts w:ascii="宋体" w:hAnsi="宋体" w:eastAsia="宋体" w:cs="Times New Roman"/>
          <w:color w:val="000000" w:themeColor="text1"/>
          <w:szCs w:val="20"/>
          <w:highlight w:val="none"/>
        </w:rPr>
      </w:pPr>
      <w:bookmarkStart w:id="132" w:name="_Toc489972853"/>
    </w:p>
    <w:p>
      <w:pPr>
        <w:spacing w:afterLines="50" w:line="400" w:lineRule="exact"/>
        <w:jc w:val="left"/>
        <w:rPr>
          <w:rFonts w:ascii="宋体" w:hAnsi="宋体"/>
          <w:b/>
          <w:color w:val="000000" w:themeColor="text1"/>
          <w:sz w:val="28"/>
          <w:szCs w:val="28"/>
          <w:highlight w:val="none"/>
        </w:rPr>
      </w:pPr>
      <w:r>
        <w:rPr>
          <w:rFonts w:hint="eastAsia" w:ascii="宋体" w:hAnsi="宋体"/>
          <w:b/>
          <w:color w:val="000000" w:themeColor="text1"/>
          <w:sz w:val="28"/>
          <w:szCs w:val="28"/>
          <w:highlight w:val="none"/>
        </w:rPr>
        <w:t>分包一移动展业平台软件开发</w:t>
      </w:r>
    </w:p>
    <w:p>
      <w:pPr>
        <w:jc w:val="center"/>
        <w:rPr>
          <w:color w:val="000000" w:themeColor="text1"/>
          <w:sz w:val="52"/>
          <w:szCs w:val="52"/>
          <w:highlight w:val="none"/>
        </w:rPr>
      </w:pPr>
      <w:r>
        <w:rPr>
          <w:rFonts w:hint="eastAsia" w:eastAsia="黑体"/>
          <w:color w:val="000000" w:themeColor="text1"/>
          <w:sz w:val="30"/>
          <w:szCs w:val="30"/>
          <w:highlight w:val="none"/>
        </w:rPr>
        <w:t>合同编号：</w:t>
      </w:r>
    </w:p>
    <w:p>
      <w:pPr>
        <w:jc w:val="center"/>
        <w:rPr>
          <w:rFonts w:ascii="黑体" w:hAnsi="黑体" w:eastAsia="黑体"/>
          <w:color w:val="000000" w:themeColor="text1"/>
          <w:sz w:val="52"/>
          <w:szCs w:val="52"/>
          <w:highlight w:val="none"/>
        </w:rPr>
      </w:pPr>
    </w:p>
    <w:p>
      <w:pPr>
        <w:jc w:val="center"/>
        <w:rPr>
          <w:rFonts w:ascii="黑体" w:hAnsi="黑体" w:eastAsia="黑体"/>
          <w:color w:val="000000" w:themeColor="text1"/>
          <w:sz w:val="52"/>
          <w:szCs w:val="52"/>
          <w:highlight w:val="none"/>
        </w:rPr>
      </w:pPr>
    </w:p>
    <w:p>
      <w:pPr>
        <w:jc w:val="center"/>
        <w:rPr>
          <w:rFonts w:ascii="黑体" w:hAnsi="黑体" w:eastAsia="黑体"/>
          <w:color w:val="000000" w:themeColor="text1"/>
          <w:sz w:val="52"/>
          <w:szCs w:val="52"/>
          <w:highlight w:val="none"/>
        </w:rPr>
      </w:pPr>
      <w:r>
        <w:rPr>
          <w:rFonts w:hint="eastAsia" w:ascii="黑体" w:hAnsi="黑体" w:eastAsia="黑体"/>
          <w:color w:val="000000" w:themeColor="text1"/>
          <w:sz w:val="52"/>
          <w:szCs w:val="52"/>
          <w:highlight w:val="none"/>
        </w:rPr>
        <w:t>重庆银行_____项目</w:t>
      </w:r>
    </w:p>
    <w:p>
      <w:pPr>
        <w:jc w:val="center"/>
        <w:rPr>
          <w:rFonts w:ascii="黑体" w:hAnsi="黑体" w:eastAsia="黑体"/>
          <w:color w:val="000000" w:themeColor="text1"/>
          <w:sz w:val="52"/>
          <w:szCs w:val="52"/>
          <w:highlight w:val="none"/>
        </w:rPr>
      </w:pPr>
    </w:p>
    <w:p>
      <w:pPr>
        <w:jc w:val="center"/>
        <w:rPr>
          <w:rFonts w:ascii="黑体" w:hAnsi="黑体" w:eastAsia="黑体"/>
          <w:color w:val="000000" w:themeColor="text1"/>
          <w:sz w:val="52"/>
          <w:szCs w:val="52"/>
          <w:highlight w:val="none"/>
        </w:rPr>
      </w:pPr>
      <w:r>
        <w:rPr>
          <w:rFonts w:hint="eastAsia" w:ascii="黑体" w:hAnsi="黑体" w:eastAsia="黑体"/>
          <w:color w:val="000000" w:themeColor="text1"/>
          <w:sz w:val="52"/>
          <w:szCs w:val="52"/>
          <w:highlight w:val="none"/>
        </w:rPr>
        <w:t>开发合同</w:t>
      </w:r>
    </w:p>
    <w:p>
      <w:pPr>
        <w:jc w:val="center"/>
        <w:rPr>
          <w:rFonts w:ascii="黑体" w:hAnsi="黑体" w:eastAsia="黑体"/>
          <w:color w:val="000000" w:themeColor="text1"/>
          <w:sz w:val="52"/>
          <w:szCs w:val="52"/>
          <w:highlight w:val="none"/>
        </w:rPr>
      </w:pPr>
    </w:p>
    <w:p>
      <w:pPr>
        <w:jc w:val="center"/>
        <w:rPr>
          <w:rFonts w:ascii="黑体" w:hAnsi="黑体" w:eastAsia="黑体"/>
          <w:color w:val="000000" w:themeColor="text1"/>
          <w:sz w:val="52"/>
          <w:szCs w:val="52"/>
          <w:highlight w:val="none"/>
        </w:rPr>
      </w:pPr>
    </w:p>
    <w:p>
      <w:pPr>
        <w:ind w:firstLine="640" w:firstLineChars="200"/>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甲方（全称）：重庆银行股份有限公司</w:t>
      </w:r>
    </w:p>
    <w:p>
      <w:pPr>
        <w:ind w:firstLine="640" w:firstLineChars="200"/>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乙方（全称）：XX公司</w:t>
      </w:r>
    </w:p>
    <w:p>
      <w:pPr>
        <w:jc w:val="center"/>
        <w:rPr>
          <w:rFonts w:ascii="黑体" w:hAnsi="黑体" w:eastAsia="黑体"/>
          <w:color w:val="000000" w:themeColor="text1"/>
          <w:sz w:val="32"/>
          <w:szCs w:val="32"/>
          <w:highlight w:val="none"/>
        </w:rPr>
      </w:pPr>
    </w:p>
    <w:p>
      <w:pPr>
        <w:jc w:val="center"/>
        <w:rPr>
          <w:rFonts w:ascii="宋体" w:hAnsi="宋体" w:eastAsia="宋体"/>
          <w:color w:val="000000" w:themeColor="text1"/>
          <w:sz w:val="36"/>
          <w:szCs w:val="36"/>
          <w:highlight w:val="none"/>
        </w:rPr>
      </w:pPr>
    </w:p>
    <w:p>
      <w:pPr>
        <w:jc w:val="center"/>
        <w:rPr>
          <w:rFonts w:ascii="宋体" w:hAnsi="宋体"/>
          <w:color w:val="000000" w:themeColor="text1"/>
          <w:sz w:val="36"/>
          <w:szCs w:val="36"/>
          <w:highlight w:val="none"/>
        </w:rPr>
      </w:pPr>
      <w:r>
        <w:rPr>
          <w:rFonts w:hint="eastAsia" w:ascii="宋体" w:hAnsi="宋体"/>
          <w:color w:val="000000" w:themeColor="text1"/>
          <w:sz w:val="36"/>
          <w:szCs w:val="36"/>
          <w:highlight w:val="none"/>
        </w:rPr>
        <w:t>重庆银行股份有限公司</w:t>
      </w:r>
    </w:p>
    <w:p>
      <w:pPr>
        <w:jc w:val="center"/>
        <w:rPr>
          <w:rFonts w:ascii="宋体" w:hAnsi="宋体"/>
          <w:color w:val="000000" w:themeColor="text1"/>
          <w:sz w:val="36"/>
          <w:szCs w:val="36"/>
          <w:highlight w:val="none"/>
        </w:rPr>
      </w:pPr>
    </w:p>
    <w:p>
      <w:pPr>
        <w:jc w:val="center"/>
        <w:rPr>
          <w:rFonts w:ascii="宋体" w:hAnsi="宋体"/>
          <w:color w:val="000000" w:themeColor="text1"/>
          <w:sz w:val="36"/>
          <w:szCs w:val="36"/>
          <w:highlight w:val="none"/>
        </w:rPr>
      </w:pPr>
      <w:r>
        <w:rPr>
          <w:rFonts w:hint="eastAsia" w:ascii="宋体" w:hAnsi="宋体"/>
          <w:color w:val="000000" w:themeColor="text1"/>
          <w:sz w:val="36"/>
          <w:szCs w:val="36"/>
          <w:highlight w:val="none"/>
        </w:rPr>
        <w:t>年 月</w:t>
      </w:r>
    </w:p>
    <w:p>
      <w:pPr>
        <w:jc w:val="center"/>
        <w:rPr>
          <w:rFonts w:ascii="宋体" w:hAnsi="宋体"/>
          <w:color w:val="000000" w:themeColor="text1"/>
          <w:sz w:val="36"/>
          <w:szCs w:val="36"/>
          <w:highlight w:val="none"/>
        </w:rPr>
      </w:pPr>
      <w:r>
        <w:rPr>
          <w:rFonts w:hint="eastAsia" w:ascii="宋体" w:hAnsi="宋体"/>
          <w:color w:val="000000" w:themeColor="text1"/>
          <w:sz w:val="36"/>
          <w:szCs w:val="36"/>
          <w:highlight w:val="none"/>
        </w:rPr>
        <w:br w:type="page"/>
      </w:r>
    </w:p>
    <w:p>
      <w:pPr>
        <w:pStyle w:val="284"/>
        <w:jc w:val="center"/>
        <w:rPr>
          <w:rFonts w:ascii="Cambria" w:hAnsi="Cambria"/>
          <w:color w:val="000000" w:themeColor="text1"/>
          <w:sz w:val="36"/>
          <w:szCs w:val="28"/>
          <w:highlight w:val="none"/>
          <w:lang w:val="zh-CN"/>
        </w:rPr>
      </w:pPr>
      <w:r>
        <w:rPr>
          <w:rFonts w:hint="eastAsia"/>
          <w:color w:val="000000" w:themeColor="text1"/>
          <w:sz w:val="36"/>
          <w:highlight w:val="none"/>
          <w:lang w:val="zh-CN"/>
        </w:rPr>
        <w:t>目录</w:t>
      </w:r>
    </w:p>
    <w:p>
      <w:pPr>
        <w:rPr>
          <w:color w:val="000000" w:themeColor="text1"/>
          <w:highlight w:val="none"/>
          <w:lang w:val="zh-CN"/>
        </w:rPr>
      </w:pPr>
    </w:p>
    <w:p>
      <w:pPr>
        <w:pStyle w:val="34"/>
        <w:tabs>
          <w:tab w:val="right" w:leader="dot" w:pos="8296"/>
        </w:tabs>
        <w:rPr>
          <w:color w:val="000000" w:themeColor="text1"/>
          <w:sz w:val="21"/>
          <w:highlight w:val="none"/>
        </w:rPr>
      </w:pPr>
      <w:r>
        <w:rPr>
          <w:color w:val="000000" w:themeColor="text1"/>
          <w:sz w:val="28"/>
          <w:highlight w:val="none"/>
        </w:rPr>
        <w:fldChar w:fldCharType="begin"/>
      </w:r>
      <w:r>
        <w:rPr>
          <w:color w:val="000000" w:themeColor="text1"/>
          <w:sz w:val="28"/>
          <w:highlight w:val="none"/>
        </w:rPr>
        <w:instrText xml:space="preserve"> TOC \o "1-3" \h \z \u </w:instrText>
      </w:r>
      <w:r>
        <w:rPr>
          <w:color w:val="000000" w:themeColor="text1"/>
          <w:sz w:val="28"/>
          <w:highlight w:val="none"/>
        </w:rPr>
        <w:fldChar w:fldCharType="separate"/>
      </w: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"_Toc428202485" </w:instrText>
      </w:r>
      <w:r>
        <w:rPr>
          <w:color w:val="000000" w:themeColor="text1"/>
          <w:highlight w:val="none"/>
        </w:rPr>
        <w:fldChar w:fldCharType="separate"/>
      </w:r>
      <w:r>
        <w:rPr>
          <w:rStyle w:val="53"/>
          <w:rFonts w:hint="eastAsia"/>
          <w:color w:val="000000" w:themeColor="text1"/>
          <w:highlight w:val="none"/>
        </w:rPr>
        <w:t>第一章项目说明</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_Toc428202485 \h </w:instrText>
      </w:r>
      <w:r>
        <w:rPr>
          <w:rStyle w:val="53"/>
          <w:color w:val="000000" w:themeColor="text1"/>
          <w:highlight w:val="none"/>
        </w:rPr>
        <w:fldChar w:fldCharType="separate"/>
      </w:r>
      <w:r>
        <w:rPr>
          <w:rStyle w:val="53"/>
          <w:color w:val="000000" w:themeColor="text1"/>
          <w:highlight w:val="none"/>
        </w:rPr>
        <w:t>32</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"_Toc428202486" </w:instrText>
      </w:r>
      <w:r>
        <w:rPr>
          <w:color w:val="000000" w:themeColor="text1"/>
          <w:highlight w:val="none"/>
        </w:rPr>
        <w:fldChar w:fldCharType="separate"/>
      </w:r>
      <w:r>
        <w:rPr>
          <w:rStyle w:val="53"/>
          <w:rFonts w:hint="eastAsia"/>
          <w:color w:val="000000" w:themeColor="text1"/>
          <w:highlight w:val="none"/>
        </w:rPr>
        <w:t>第二章术语定义</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_Toc428202486 \h </w:instrText>
      </w:r>
      <w:r>
        <w:rPr>
          <w:rStyle w:val="53"/>
          <w:color w:val="000000" w:themeColor="text1"/>
          <w:highlight w:val="none"/>
        </w:rPr>
        <w:fldChar w:fldCharType="separate"/>
      </w:r>
      <w:r>
        <w:rPr>
          <w:rStyle w:val="53"/>
          <w:color w:val="000000" w:themeColor="text1"/>
          <w:highlight w:val="none"/>
        </w:rPr>
        <w:t>33</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"_Toc428202487" </w:instrText>
      </w:r>
      <w:r>
        <w:rPr>
          <w:color w:val="000000" w:themeColor="text1"/>
          <w:highlight w:val="none"/>
        </w:rPr>
        <w:fldChar w:fldCharType="separate"/>
      </w:r>
      <w:r>
        <w:rPr>
          <w:rStyle w:val="53"/>
          <w:rFonts w:hint="eastAsia" w:ascii="宋体" w:hAnsi="宋体"/>
          <w:color w:val="000000" w:themeColor="text1"/>
          <w:highlight w:val="none"/>
        </w:rPr>
        <w:t>第三章服务范围、内容</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_Toc428202487 \h </w:instrText>
      </w:r>
      <w:r>
        <w:rPr>
          <w:rStyle w:val="53"/>
          <w:color w:val="000000" w:themeColor="text1"/>
          <w:highlight w:val="none"/>
        </w:rPr>
        <w:fldChar w:fldCharType="separate"/>
      </w:r>
      <w:r>
        <w:rPr>
          <w:rStyle w:val="53"/>
          <w:color w:val="000000" w:themeColor="text1"/>
          <w:highlight w:val="none"/>
        </w:rPr>
        <w:t>33</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"_Toc428202488" </w:instrText>
      </w:r>
      <w:r>
        <w:rPr>
          <w:color w:val="000000" w:themeColor="text1"/>
          <w:highlight w:val="none"/>
        </w:rPr>
        <w:fldChar w:fldCharType="separate"/>
      </w:r>
      <w:r>
        <w:rPr>
          <w:rStyle w:val="53"/>
          <w:rFonts w:hint="eastAsia" w:ascii="宋体" w:hAnsi="宋体"/>
          <w:color w:val="000000" w:themeColor="text1"/>
          <w:highlight w:val="none"/>
        </w:rPr>
        <w:t>第四章工作时限及安排</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_Toc428202488 \h </w:instrText>
      </w:r>
      <w:r>
        <w:rPr>
          <w:rStyle w:val="53"/>
          <w:color w:val="000000" w:themeColor="text1"/>
          <w:highlight w:val="none"/>
        </w:rPr>
        <w:fldChar w:fldCharType="separate"/>
      </w:r>
      <w:r>
        <w:rPr>
          <w:rStyle w:val="53"/>
          <w:color w:val="000000" w:themeColor="text1"/>
          <w:highlight w:val="none"/>
        </w:rPr>
        <w:t>33</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"_Toc428202489" </w:instrText>
      </w:r>
      <w:r>
        <w:rPr>
          <w:color w:val="000000" w:themeColor="text1"/>
          <w:highlight w:val="none"/>
        </w:rPr>
        <w:fldChar w:fldCharType="separate"/>
      </w:r>
      <w:r>
        <w:rPr>
          <w:rStyle w:val="53"/>
          <w:rFonts w:hint="eastAsia" w:ascii="宋体" w:hAnsi="宋体"/>
          <w:color w:val="000000" w:themeColor="text1"/>
          <w:highlight w:val="none"/>
        </w:rPr>
        <w:t>第五章双方权利与义务</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_Toc428202489 \h </w:instrText>
      </w:r>
      <w:r>
        <w:rPr>
          <w:rStyle w:val="53"/>
          <w:color w:val="000000" w:themeColor="text1"/>
          <w:highlight w:val="none"/>
        </w:rPr>
        <w:fldChar w:fldCharType="separate"/>
      </w:r>
      <w:r>
        <w:rPr>
          <w:rStyle w:val="53"/>
          <w:color w:val="000000" w:themeColor="text1"/>
          <w:highlight w:val="none"/>
        </w:rPr>
        <w:t>33</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"_Toc428202490" </w:instrText>
      </w:r>
      <w:r>
        <w:rPr>
          <w:color w:val="000000" w:themeColor="text1"/>
          <w:highlight w:val="none"/>
        </w:rPr>
        <w:fldChar w:fldCharType="separate"/>
      </w:r>
      <w:r>
        <w:rPr>
          <w:rStyle w:val="53"/>
          <w:rFonts w:hint="eastAsia" w:ascii="宋体" w:hAnsi="宋体"/>
          <w:color w:val="000000" w:themeColor="text1"/>
          <w:highlight w:val="none"/>
        </w:rPr>
        <w:t>第六章项目履行与验收</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_Toc428202490 \h </w:instrText>
      </w:r>
      <w:r>
        <w:rPr>
          <w:rStyle w:val="53"/>
          <w:color w:val="000000" w:themeColor="text1"/>
          <w:highlight w:val="none"/>
        </w:rPr>
        <w:fldChar w:fldCharType="separate"/>
      </w:r>
      <w:r>
        <w:rPr>
          <w:rStyle w:val="53"/>
          <w:color w:val="000000" w:themeColor="text1"/>
          <w:highlight w:val="none"/>
        </w:rPr>
        <w:t>34</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"_Toc428202491" </w:instrText>
      </w:r>
      <w:r>
        <w:rPr>
          <w:color w:val="000000" w:themeColor="text1"/>
          <w:highlight w:val="none"/>
        </w:rPr>
        <w:fldChar w:fldCharType="separate"/>
      </w:r>
      <w:r>
        <w:rPr>
          <w:rStyle w:val="53"/>
          <w:rFonts w:hint="eastAsia" w:ascii="宋体" w:hAnsi="宋体"/>
          <w:color w:val="000000" w:themeColor="text1"/>
          <w:highlight w:val="none"/>
        </w:rPr>
        <w:t>第七章服务质量要求</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_Toc428202491 \h </w:instrText>
      </w:r>
      <w:r>
        <w:rPr>
          <w:rStyle w:val="53"/>
          <w:color w:val="000000" w:themeColor="text1"/>
          <w:highlight w:val="none"/>
        </w:rPr>
        <w:fldChar w:fldCharType="separate"/>
      </w:r>
      <w:r>
        <w:rPr>
          <w:rStyle w:val="53"/>
          <w:color w:val="000000" w:themeColor="text1"/>
          <w:highlight w:val="none"/>
        </w:rPr>
        <w:t>35</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"_Toc428202492" </w:instrText>
      </w:r>
      <w:r>
        <w:rPr>
          <w:color w:val="000000" w:themeColor="text1"/>
          <w:highlight w:val="none"/>
        </w:rPr>
        <w:fldChar w:fldCharType="separate"/>
      </w:r>
      <w:r>
        <w:rPr>
          <w:rStyle w:val="53"/>
          <w:rFonts w:hint="eastAsia" w:ascii="宋体" w:hAnsi="宋体"/>
          <w:color w:val="000000" w:themeColor="text1"/>
          <w:highlight w:val="none"/>
        </w:rPr>
        <w:t>第八章合同价款与结算</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_Toc428202492 \h </w:instrText>
      </w:r>
      <w:r>
        <w:rPr>
          <w:rStyle w:val="53"/>
          <w:color w:val="000000" w:themeColor="text1"/>
          <w:highlight w:val="none"/>
        </w:rPr>
        <w:fldChar w:fldCharType="separate"/>
      </w:r>
      <w:r>
        <w:rPr>
          <w:rStyle w:val="53"/>
          <w:color w:val="000000" w:themeColor="text1"/>
          <w:highlight w:val="none"/>
        </w:rPr>
        <w:t>35</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"_Toc428202493" </w:instrText>
      </w:r>
      <w:r>
        <w:rPr>
          <w:color w:val="000000" w:themeColor="text1"/>
          <w:highlight w:val="none"/>
        </w:rPr>
        <w:fldChar w:fldCharType="separate"/>
      </w:r>
      <w:r>
        <w:rPr>
          <w:rStyle w:val="53"/>
          <w:rFonts w:hint="eastAsia" w:ascii="宋体" w:hAnsi="宋体"/>
          <w:color w:val="000000" w:themeColor="text1"/>
          <w:highlight w:val="none"/>
        </w:rPr>
        <w:t>第九章知识产权保护</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_Toc428202493 \h </w:instrText>
      </w:r>
      <w:r>
        <w:rPr>
          <w:rStyle w:val="53"/>
          <w:color w:val="000000" w:themeColor="text1"/>
          <w:highlight w:val="none"/>
        </w:rPr>
        <w:fldChar w:fldCharType="separate"/>
      </w:r>
      <w:r>
        <w:rPr>
          <w:rStyle w:val="53"/>
          <w:color w:val="000000" w:themeColor="text1"/>
          <w:highlight w:val="none"/>
        </w:rPr>
        <w:t>36</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"_Toc428202494" </w:instrText>
      </w:r>
      <w:r>
        <w:rPr>
          <w:color w:val="000000" w:themeColor="text1"/>
          <w:highlight w:val="none"/>
        </w:rPr>
        <w:fldChar w:fldCharType="separate"/>
      </w:r>
      <w:r>
        <w:rPr>
          <w:rStyle w:val="53"/>
          <w:rFonts w:hint="eastAsia" w:ascii="宋体" w:hAnsi="宋体"/>
          <w:color w:val="000000" w:themeColor="text1"/>
          <w:highlight w:val="none"/>
        </w:rPr>
        <w:t>第十章安全保密承诺</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_Toc428202494 \h </w:instrText>
      </w:r>
      <w:r>
        <w:rPr>
          <w:rStyle w:val="53"/>
          <w:color w:val="000000" w:themeColor="text1"/>
          <w:highlight w:val="none"/>
        </w:rPr>
        <w:fldChar w:fldCharType="separate"/>
      </w:r>
      <w:r>
        <w:rPr>
          <w:rStyle w:val="53"/>
          <w:color w:val="000000" w:themeColor="text1"/>
          <w:highlight w:val="none"/>
        </w:rPr>
        <w:t>36</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"_Toc428202495" </w:instrText>
      </w:r>
      <w:r>
        <w:rPr>
          <w:color w:val="000000" w:themeColor="text1"/>
          <w:highlight w:val="none"/>
        </w:rPr>
        <w:fldChar w:fldCharType="separate"/>
      </w:r>
      <w:r>
        <w:rPr>
          <w:rStyle w:val="53"/>
          <w:rFonts w:hint="eastAsia" w:ascii="宋体" w:hAnsi="宋体"/>
          <w:color w:val="000000" w:themeColor="text1"/>
          <w:highlight w:val="none"/>
        </w:rPr>
        <w:t>第十一章知识转移及培训</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_Toc428202495 \h </w:instrText>
      </w:r>
      <w:r>
        <w:rPr>
          <w:rStyle w:val="53"/>
          <w:color w:val="000000" w:themeColor="text1"/>
          <w:highlight w:val="none"/>
        </w:rPr>
        <w:fldChar w:fldCharType="separate"/>
      </w:r>
      <w:r>
        <w:rPr>
          <w:rStyle w:val="53"/>
          <w:color w:val="000000" w:themeColor="text1"/>
          <w:highlight w:val="none"/>
        </w:rPr>
        <w:t>37</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"_Toc428202496" </w:instrText>
      </w:r>
      <w:r>
        <w:rPr>
          <w:color w:val="000000" w:themeColor="text1"/>
          <w:highlight w:val="none"/>
        </w:rPr>
        <w:fldChar w:fldCharType="separate"/>
      </w:r>
      <w:r>
        <w:rPr>
          <w:rStyle w:val="53"/>
          <w:rFonts w:hint="eastAsia" w:ascii="宋体" w:hAnsi="宋体"/>
          <w:color w:val="000000" w:themeColor="text1"/>
          <w:highlight w:val="none"/>
        </w:rPr>
        <w:t>第十二章服务水平协议</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_Toc428202496 \h </w:instrText>
      </w:r>
      <w:r>
        <w:rPr>
          <w:rStyle w:val="53"/>
          <w:color w:val="000000" w:themeColor="text1"/>
          <w:highlight w:val="none"/>
        </w:rPr>
        <w:fldChar w:fldCharType="separate"/>
      </w:r>
      <w:r>
        <w:rPr>
          <w:rStyle w:val="53"/>
          <w:color w:val="000000" w:themeColor="text1"/>
          <w:highlight w:val="none"/>
        </w:rPr>
        <w:t>37</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"_Toc428202497" </w:instrText>
      </w:r>
      <w:r>
        <w:rPr>
          <w:color w:val="000000" w:themeColor="text1"/>
          <w:highlight w:val="none"/>
        </w:rPr>
        <w:fldChar w:fldCharType="separate"/>
      </w:r>
      <w:r>
        <w:rPr>
          <w:rStyle w:val="53"/>
          <w:rFonts w:hint="eastAsia" w:ascii="宋体" w:hAnsi="宋体"/>
          <w:color w:val="000000" w:themeColor="text1"/>
          <w:highlight w:val="none"/>
        </w:rPr>
        <w:t>第十三章审计与监督</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_Toc428202497 \h </w:instrText>
      </w:r>
      <w:r>
        <w:rPr>
          <w:rStyle w:val="53"/>
          <w:color w:val="000000" w:themeColor="text1"/>
          <w:highlight w:val="none"/>
        </w:rPr>
        <w:fldChar w:fldCharType="separate"/>
      </w:r>
      <w:r>
        <w:rPr>
          <w:rStyle w:val="53"/>
          <w:color w:val="000000" w:themeColor="text1"/>
          <w:highlight w:val="none"/>
        </w:rPr>
        <w:t>37</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"_Toc428202498" </w:instrText>
      </w:r>
      <w:r>
        <w:rPr>
          <w:color w:val="000000" w:themeColor="text1"/>
          <w:highlight w:val="none"/>
        </w:rPr>
        <w:fldChar w:fldCharType="separate"/>
      </w:r>
      <w:r>
        <w:rPr>
          <w:rStyle w:val="53"/>
          <w:rFonts w:hint="eastAsia" w:ascii="宋体" w:hAnsi="宋体"/>
          <w:color w:val="000000" w:themeColor="text1"/>
          <w:highlight w:val="none"/>
        </w:rPr>
        <w:t>第十四章监管及合规遵从</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_Toc428202498 \h </w:instrText>
      </w:r>
      <w:r>
        <w:rPr>
          <w:rStyle w:val="53"/>
          <w:color w:val="000000" w:themeColor="text1"/>
          <w:highlight w:val="none"/>
        </w:rPr>
        <w:fldChar w:fldCharType="separate"/>
      </w:r>
      <w:r>
        <w:rPr>
          <w:rStyle w:val="53"/>
          <w:color w:val="000000" w:themeColor="text1"/>
          <w:highlight w:val="none"/>
        </w:rPr>
        <w:t>37</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"_Toc428202499" </w:instrText>
      </w:r>
      <w:r>
        <w:rPr>
          <w:color w:val="000000" w:themeColor="text1"/>
          <w:highlight w:val="none"/>
        </w:rPr>
        <w:fldChar w:fldCharType="separate"/>
      </w:r>
      <w:r>
        <w:rPr>
          <w:rStyle w:val="53"/>
          <w:rFonts w:hint="eastAsia" w:ascii="宋体" w:hAnsi="宋体"/>
          <w:color w:val="000000" w:themeColor="text1"/>
          <w:highlight w:val="none"/>
        </w:rPr>
        <w:t>第十五章禁止转包开发</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_Toc428202499 \h </w:instrText>
      </w:r>
      <w:r>
        <w:rPr>
          <w:rStyle w:val="53"/>
          <w:color w:val="000000" w:themeColor="text1"/>
          <w:highlight w:val="none"/>
        </w:rPr>
        <w:fldChar w:fldCharType="separate"/>
      </w:r>
      <w:r>
        <w:rPr>
          <w:rStyle w:val="53"/>
          <w:color w:val="000000" w:themeColor="text1"/>
          <w:highlight w:val="none"/>
        </w:rPr>
        <w:t>37</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"_Toc428202500" </w:instrText>
      </w:r>
      <w:r>
        <w:rPr>
          <w:color w:val="000000" w:themeColor="text1"/>
          <w:highlight w:val="none"/>
        </w:rPr>
        <w:fldChar w:fldCharType="separate"/>
      </w:r>
      <w:r>
        <w:rPr>
          <w:rStyle w:val="53"/>
          <w:rFonts w:hint="eastAsia" w:ascii="宋体" w:hAnsi="宋体"/>
          <w:color w:val="000000" w:themeColor="text1"/>
          <w:highlight w:val="none"/>
        </w:rPr>
        <w:t>第十六章服务连续性与应急管理</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_Toc428202500 \h </w:instrText>
      </w:r>
      <w:r>
        <w:rPr>
          <w:rStyle w:val="53"/>
          <w:color w:val="000000" w:themeColor="text1"/>
          <w:highlight w:val="none"/>
        </w:rPr>
        <w:fldChar w:fldCharType="separate"/>
      </w:r>
      <w:r>
        <w:rPr>
          <w:rStyle w:val="53"/>
          <w:color w:val="000000" w:themeColor="text1"/>
          <w:highlight w:val="none"/>
        </w:rPr>
        <w:t>38</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"_Toc428202501" </w:instrText>
      </w:r>
      <w:r>
        <w:rPr>
          <w:color w:val="000000" w:themeColor="text1"/>
          <w:highlight w:val="none"/>
        </w:rPr>
        <w:fldChar w:fldCharType="separate"/>
      </w:r>
      <w:r>
        <w:rPr>
          <w:rStyle w:val="53"/>
          <w:rFonts w:hint="eastAsia" w:ascii="宋体" w:hAnsi="宋体"/>
          <w:color w:val="000000" w:themeColor="text1"/>
          <w:highlight w:val="none"/>
        </w:rPr>
        <w:t>第十七章不可抗力</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_Toc428202501 \h </w:instrText>
      </w:r>
      <w:r>
        <w:rPr>
          <w:rStyle w:val="53"/>
          <w:color w:val="000000" w:themeColor="text1"/>
          <w:highlight w:val="none"/>
        </w:rPr>
        <w:fldChar w:fldCharType="separate"/>
      </w:r>
      <w:r>
        <w:rPr>
          <w:rStyle w:val="53"/>
          <w:color w:val="000000" w:themeColor="text1"/>
          <w:highlight w:val="none"/>
        </w:rPr>
        <w:t>38</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"_Toc428202502" </w:instrText>
      </w:r>
      <w:r>
        <w:rPr>
          <w:color w:val="000000" w:themeColor="text1"/>
          <w:highlight w:val="none"/>
        </w:rPr>
        <w:fldChar w:fldCharType="separate"/>
      </w:r>
      <w:r>
        <w:rPr>
          <w:rStyle w:val="53"/>
          <w:rFonts w:hint="eastAsia" w:ascii="宋体" w:hAnsi="宋体"/>
          <w:color w:val="000000" w:themeColor="text1"/>
          <w:highlight w:val="none"/>
        </w:rPr>
        <w:t>第十八章双方违约责任</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_Toc428202502 \h </w:instrText>
      </w:r>
      <w:r>
        <w:rPr>
          <w:rStyle w:val="53"/>
          <w:color w:val="000000" w:themeColor="text1"/>
          <w:highlight w:val="none"/>
        </w:rPr>
        <w:fldChar w:fldCharType="separate"/>
      </w:r>
      <w:r>
        <w:rPr>
          <w:rStyle w:val="53"/>
          <w:color w:val="000000" w:themeColor="text1"/>
          <w:highlight w:val="none"/>
        </w:rPr>
        <w:t>38</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"_Toc428202503" </w:instrText>
      </w:r>
      <w:r>
        <w:rPr>
          <w:color w:val="000000" w:themeColor="text1"/>
          <w:highlight w:val="none"/>
        </w:rPr>
        <w:fldChar w:fldCharType="separate"/>
      </w:r>
      <w:r>
        <w:rPr>
          <w:rStyle w:val="53"/>
          <w:rFonts w:hint="eastAsia" w:ascii="宋体" w:hAnsi="宋体"/>
          <w:color w:val="000000" w:themeColor="text1"/>
          <w:highlight w:val="none"/>
        </w:rPr>
        <w:t>第十九章争端解决机制</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_Toc428202503 \h </w:instrText>
      </w:r>
      <w:r>
        <w:rPr>
          <w:rStyle w:val="53"/>
          <w:color w:val="000000" w:themeColor="text1"/>
          <w:highlight w:val="none"/>
        </w:rPr>
        <w:fldChar w:fldCharType="separate"/>
      </w:r>
      <w:r>
        <w:rPr>
          <w:rStyle w:val="53"/>
          <w:color w:val="000000" w:themeColor="text1"/>
          <w:highlight w:val="none"/>
        </w:rPr>
        <w:t>39</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"_Toc428202504" </w:instrText>
      </w:r>
      <w:r>
        <w:rPr>
          <w:color w:val="000000" w:themeColor="text1"/>
          <w:highlight w:val="none"/>
        </w:rPr>
        <w:fldChar w:fldCharType="separate"/>
      </w:r>
      <w:r>
        <w:rPr>
          <w:rStyle w:val="53"/>
          <w:rFonts w:hint="eastAsia" w:ascii="宋体" w:hAnsi="宋体"/>
          <w:color w:val="000000" w:themeColor="text1"/>
          <w:highlight w:val="none"/>
        </w:rPr>
        <w:t>第二十章合同生效、变更、终止</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_Toc428202504 \h </w:instrText>
      </w:r>
      <w:r>
        <w:rPr>
          <w:rStyle w:val="53"/>
          <w:color w:val="000000" w:themeColor="text1"/>
          <w:highlight w:val="none"/>
        </w:rPr>
        <w:fldChar w:fldCharType="separate"/>
      </w:r>
      <w:r>
        <w:rPr>
          <w:rStyle w:val="53"/>
          <w:color w:val="000000" w:themeColor="text1"/>
          <w:highlight w:val="none"/>
        </w:rPr>
        <w:t>39</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"_Toc428202505" </w:instrText>
      </w:r>
      <w:r>
        <w:rPr>
          <w:color w:val="000000" w:themeColor="text1"/>
          <w:highlight w:val="none"/>
        </w:rPr>
        <w:fldChar w:fldCharType="separate"/>
      </w:r>
      <w:r>
        <w:rPr>
          <w:rStyle w:val="53"/>
          <w:rFonts w:hint="eastAsia" w:ascii="宋体" w:hAnsi="宋体"/>
          <w:color w:val="000000" w:themeColor="text1"/>
          <w:highlight w:val="none"/>
        </w:rPr>
        <w:t>第二十一章双方约定的其他事项</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_Toc428202505 \h </w:instrText>
      </w:r>
      <w:r>
        <w:rPr>
          <w:rStyle w:val="53"/>
          <w:color w:val="000000" w:themeColor="text1"/>
          <w:highlight w:val="none"/>
        </w:rPr>
        <w:fldChar w:fldCharType="separate"/>
      </w:r>
      <w:r>
        <w:rPr>
          <w:rStyle w:val="53"/>
          <w:color w:val="000000" w:themeColor="text1"/>
          <w:highlight w:val="none"/>
        </w:rPr>
        <w:t>40</w:t>
      </w:r>
      <w:r>
        <w:rPr>
          <w:rStyle w:val="53"/>
          <w:color w:val="000000" w:themeColor="text1"/>
          <w:highlight w:val="none"/>
        </w:rPr>
        <w:fldChar w:fldCharType="end"/>
      </w:r>
      <w:r>
        <w:rPr>
          <w:rStyle w:val="53"/>
          <w:color w:val="000000" w:themeColor="text1"/>
          <w:highlight w:val="none"/>
        </w:rPr>
        <w:fldChar w:fldCharType="end"/>
      </w:r>
    </w:p>
    <w:p>
      <w:pPr>
        <w:pStyle w:val="34"/>
        <w:tabs>
          <w:tab w:val="right" w:leader="dot" w:pos="8296"/>
        </w:tabs>
        <w:rPr>
          <w:color w:val="000000" w:themeColor="text1"/>
          <w:sz w:val="21"/>
          <w:highlight w:val="none"/>
        </w:rPr>
      </w:pPr>
      <w:r>
        <w:rPr>
          <w:color w:val="000000" w:themeColor="text1"/>
          <w:highlight w:val="none"/>
        </w:rPr>
        <w:fldChar w:fldCharType="begin"/>
      </w:r>
      <w:r>
        <w:rPr>
          <w:color w:val="000000" w:themeColor="text1"/>
          <w:highlight w:val="none"/>
        </w:rPr>
        <w:instrText xml:space="preserve"> HYPERLINK "file:///C:\\Users\\user\\AppData\\Roaming\\Foxmail7\\Temp-23304-20190524160444\\重庆银行XX项目开发合同.doc" \l "_Toc428202506" </w:instrText>
      </w:r>
      <w:r>
        <w:rPr>
          <w:color w:val="000000" w:themeColor="text1"/>
          <w:highlight w:val="none"/>
        </w:rPr>
        <w:fldChar w:fldCharType="separate"/>
      </w:r>
      <w:r>
        <w:rPr>
          <w:rStyle w:val="53"/>
          <w:rFonts w:hint="eastAsia" w:ascii="宋体" w:hAnsi="宋体"/>
          <w:color w:val="000000" w:themeColor="text1"/>
          <w:highlight w:val="none"/>
        </w:rPr>
        <w:t>第二十二章附则</w:t>
      </w:r>
      <w:r>
        <w:rPr>
          <w:rStyle w:val="53"/>
          <w:color w:val="000000" w:themeColor="text1"/>
          <w:highlight w:val="none"/>
        </w:rPr>
        <w:tab/>
      </w:r>
      <w:r>
        <w:rPr>
          <w:rStyle w:val="53"/>
          <w:color w:val="000000" w:themeColor="text1"/>
          <w:highlight w:val="none"/>
        </w:rPr>
        <w:fldChar w:fldCharType="begin"/>
      </w:r>
      <w:r>
        <w:rPr>
          <w:rStyle w:val="53"/>
          <w:color w:val="000000" w:themeColor="text1"/>
          <w:highlight w:val="none"/>
        </w:rPr>
        <w:instrText xml:space="preserve"> PAGEREF _Toc428202506 \h </w:instrText>
      </w:r>
      <w:r>
        <w:rPr>
          <w:rStyle w:val="53"/>
          <w:color w:val="000000" w:themeColor="text1"/>
          <w:highlight w:val="none"/>
        </w:rPr>
        <w:fldChar w:fldCharType="separate"/>
      </w:r>
      <w:r>
        <w:rPr>
          <w:rStyle w:val="53"/>
          <w:color w:val="000000" w:themeColor="text1"/>
          <w:highlight w:val="none"/>
        </w:rPr>
        <w:t>40</w:t>
      </w:r>
      <w:r>
        <w:rPr>
          <w:rStyle w:val="53"/>
          <w:color w:val="000000" w:themeColor="text1"/>
          <w:highlight w:val="none"/>
        </w:rPr>
        <w:fldChar w:fldCharType="end"/>
      </w:r>
      <w:r>
        <w:rPr>
          <w:rStyle w:val="53"/>
          <w:color w:val="000000" w:themeColor="text1"/>
          <w:highlight w:val="none"/>
        </w:rPr>
        <w:fldChar w:fldCharType="end"/>
      </w:r>
    </w:p>
    <w:p>
      <w:pPr>
        <w:rPr>
          <w:color w:val="000000" w:themeColor="text1"/>
          <w:highlight w:val="none"/>
        </w:rPr>
      </w:pPr>
      <w:r>
        <w:rPr>
          <w:b/>
          <w:bCs/>
          <w:color w:val="000000" w:themeColor="text1"/>
          <w:sz w:val="24"/>
          <w:highlight w:val="none"/>
          <w:lang w:val="zh-CN"/>
        </w:rPr>
        <w:fldChar w:fldCharType="end"/>
      </w:r>
    </w:p>
    <w:p>
      <w:pPr>
        <w:widowControl/>
        <w:jc w:val="left"/>
        <w:rPr>
          <w:rFonts w:ascii="宋体" w:hAnsi="宋体"/>
          <w:color w:val="000000" w:themeColor="text1"/>
          <w:szCs w:val="21"/>
          <w:highlight w:val="none"/>
        </w:rPr>
      </w:pPr>
    </w:p>
    <w:p>
      <w:pPr>
        <w:pStyle w:val="2"/>
        <w:ind w:firstLine="482"/>
        <w:jc w:val="center"/>
        <w:rPr>
          <w:color w:val="000000" w:themeColor="text1"/>
          <w:sz w:val="24"/>
          <w:szCs w:val="24"/>
          <w:highlight w:val="none"/>
        </w:rPr>
      </w:pPr>
      <w:bookmarkStart w:id="133" w:name="_Toc428202485"/>
      <w:bookmarkStart w:id="134" w:name="_Toc93484480"/>
      <w:bookmarkStart w:id="135" w:name="_Toc172019070"/>
      <w:r>
        <w:rPr>
          <w:rFonts w:hint="eastAsia"/>
          <w:color w:val="000000" w:themeColor="text1"/>
          <w:sz w:val="24"/>
          <w:szCs w:val="24"/>
          <w:highlight w:val="none"/>
        </w:rPr>
        <w:t>第一章项目说明</w:t>
      </w:r>
      <w:bookmarkEnd w:id="133"/>
    </w:p>
    <w:p>
      <w:pPr>
        <w:pStyle w:val="285"/>
        <w:numPr>
          <w:ilvl w:val="0"/>
          <w:numId w:val="9"/>
        </w:numPr>
        <w:adjustRightInd w:val="0"/>
        <w:spacing w:line="580" w:lineRule="exact"/>
        <w:ind w:left="0" w:firstLine="601" w:firstLineChars="0"/>
        <w:rPr>
          <w:rFonts w:ascii="宋体" w:hAnsi="宋体"/>
          <w:color w:val="000000" w:themeColor="text1"/>
          <w:sz w:val="24"/>
          <w:szCs w:val="24"/>
          <w:highlight w:val="none"/>
        </w:rPr>
      </w:pPr>
      <w:r>
        <w:rPr>
          <w:rFonts w:hint="eastAsia" w:ascii="宋体" w:hAnsi="宋体"/>
          <w:color w:val="000000" w:themeColor="text1"/>
          <w:sz w:val="24"/>
          <w:szCs w:val="24"/>
          <w:highlight w:val="none"/>
        </w:rPr>
        <w:t>依据《中华人民共和国合同法》及其他有关法律、行政法规、遵循平等、自愿、公平和诚实信用的原则，甲、乙双方就重庆银行</w:t>
      </w:r>
      <w:r>
        <w:rPr>
          <w:rFonts w:ascii="宋体" w:hAnsi="宋体"/>
          <w:color w:val="000000" w:themeColor="text1"/>
          <w:sz w:val="24"/>
          <w:szCs w:val="24"/>
          <w:highlight w:val="none"/>
        </w:rPr>
        <w:t>__________________项目的软件开发，经协商一致，签订本合同，并保证严格履</w:t>
      </w:r>
      <w:r>
        <w:rPr>
          <w:rFonts w:hint="eastAsia" w:ascii="宋体" w:hAnsi="宋体"/>
          <w:color w:val="000000" w:themeColor="text1"/>
          <w:sz w:val="24"/>
          <w:szCs w:val="24"/>
          <w:highlight w:val="none"/>
        </w:rPr>
        <w:t>行。</w:t>
      </w:r>
    </w:p>
    <w:p>
      <w:pPr>
        <w:pStyle w:val="2"/>
        <w:ind w:firstLine="482"/>
        <w:jc w:val="center"/>
        <w:rPr>
          <w:color w:val="000000" w:themeColor="text1"/>
          <w:sz w:val="24"/>
          <w:szCs w:val="24"/>
          <w:highlight w:val="none"/>
        </w:rPr>
      </w:pPr>
      <w:bookmarkStart w:id="136" w:name="_Toc428202486"/>
      <w:r>
        <w:rPr>
          <w:rFonts w:hint="eastAsia"/>
          <w:color w:val="000000" w:themeColor="text1"/>
          <w:sz w:val="24"/>
          <w:szCs w:val="24"/>
          <w:highlight w:val="none"/>
        </w:rPr>
        <w:t>第二章术语定义</w:t>
      </w:r>
      <w:bookmarkEnd w:id="134"/>
      <w:bookmarkEnd w:id="135"/>
      <w:bookmarkEnd w:id="136"/>
    </w:p>
    <w:p>
      <w:pPr>
        <w:pStyle w:val="285"/>
        <w:numPr>
          <w:ilvl w:val="0"/>
          <w:numId w:val="9"/>
        </w:numPr>
        <w:adjustRightInd w:val="0"/>
        <w:spacing w:line="580" w:lineRule="exact"/>
        <w:ind w:left="0" w:firstLine="601" w:firstLineChars="0"/>
        <w:rPr>
          <w:rFonts w:ascii="宋体" w:hAnsi="宋体"/>
          <w:color w:val="000000" w:themeColor="text1"/>
          <w:sz w:val="24"/>
          <w:szCs w:val="24"/>
          <w:highlight w:val="none"/>
        </w:rPr>
      </w:pPr>
      <w:r>
        <w:rPr>
          <w:rFonts w:hint="eastAsia" w:ascii="宋体" w:hAnsi="宋体"/>
          <w:color w:val="000000" w:themeColor="text1"/>
          <w:sz w:val="24"/>
          <w:szCs w:val="24"/>
          <w:highlight w:val="none"/>
        </w:rPr>
        <w:t>除非本合同另有特别约定，本合同所使用的术语、概念的含义如下：</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2.1“合同”系指甲乙双方签署的、合同格式中载明的甲乙双方所达成的协议，包括所有的附件、附录和构成合同的所有文件。</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2.2“合同价”系指根据合同规定乙方在正确地完全履行合同义务后甲方应支付给乙方的价格。</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2.3“软件”包括“系统软件”，除另有指明外，指描述于本合同及附件中的在本合同履行期内所开发和提供的当前和将来的软件版本，包括乙方为履行本合同所开发和提供的软件版本和相关的文件。</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2.4“可交付件”指合同及其附件中指定的由乙方所交付的软件，包括源代码、安装盘、技术文档、用户指南、操作手册、安装指南和测试报告等。</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2.5“交付”指乙方在双方规定的日期内交付约定开发的软件的行为。但是乙方完成交付行为，并不意味着乙方已经完成了本合同项下所规定的的所有义务。</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2.6“规格”是指在技术或其他开发任务上所设定的技术标准、规范。</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2.7“源代码”指用于该软件的所有源代码。其必须可为熟练的程序员理解和使用，可打印以及被机器阅读或具备其他合理而必要的形式，包括对该软件的评估、测试或其他技术文件。</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2.8“商业秘密”指甲、乙方各自拥有的，不为公众所知的管理信息、方式方法、顾客名单、商业数据、产品信息、销售渠道、技术诀窍、源代码、计算机文档等，或由甲、乙方在履行本合同过程中明确指明为商业秘密的、法律法规所认可的任何信息。</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2.9“工作日”指国家所规定的节假日之外的所有工作日，未指明为工作日的日期指自然顺延的日期。</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2.10“服务”系指如分析、设计、开发、咨询、实施、培训、试运行、维护、技术支持和项目管理等招标、投标文件中所描述的活动。服务亦包括招标、投标文件中特别描述的其他形式的服务。</w:t>
      </w:r>
    </w:p>
    <w:p>
      <w:pPr>
        <w:pStyle w:val="2"/>
        <w:ind w:firstLine="482"/>
        <w:jc w:val="center"/>
        <w:rPr>
          <w:rFonts w:ascii="宋体" w:hAnsi="宋体"/>
          <w:b w:val="0"/>
          <w:color w:val="000000" w:themeColor="text1"/>
          <w:sz w:val="24"/>
          <w:szCs w:val="24"/>
          <w:highlight w:val="none"/>
        </w:rPr>
      </w:pPr>
      <w:bookmarkStart w:id="137" w:name="_Toc428202487"/>
      <w:r>
        <w:rPr>
          <w:rFonts w:hint="eastAsia" w:ascii="宋体" w:hAnsi="宋体"/>
          <w:color w:val="000000" w:themeColor="text1"/>
          <w:sz w:val="24"/>
          <w:szCs w:val="24"/>
          <w:highlight w:val="none"/>
        </w:rPr>
        <w:t>第三章服务范围、内容</w:t>
      </w:r>
      <w:bookmarkEnd w:id="137"/>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本次重庆银行</w:t>
      </w:r>
      <w:r>
        <w:rPr>
          <w:rFonts w:ascii="宋体" w:hAnsi="宋体"/>
          <w:color w:val="000000" w:themeColor="text1"/>
          <w:sz w:val="24"/>
          <w:szCs w:val="24"/>
          <w:highlight w:val="none"/>
        </w:rPr>
        <w:t>_________________建设项目的工作范围包括：</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3.1工作范围说明：</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详细工作范围见附件一：《工作范围说明书》</w:t>
      </w:r>
    </w:p>
    <w:p>
      <w:pPr>
        <w:pStyle w:val="2"/>
        <w:ind w:firstLine="482"/>
        <w:jc w:val="center"/>
        <w:rPr>
          <w:rFonts w:ascii="宋体" w:hAnsi="宋体"/>
          <w:color w:val="000000" w:themeColor="text1"/>
          <w:sz w:val="24"/>
          <w:szCs w:val="24"/>
          <w:highlight w:val="none"/>
        </w:rPr>
      </w:pPr>
      <w:bookmarkStart w:id="138" w:name="_Toc428202488"/>
      <w:r>
        <w:rPr>
          <w:rFonts w:hint="eastAsia" w:ascii="宋体" w:hAnsi="宋体"/>
          <w:color w:val="000000" w:themeColor="text1"/>
          <w:sz w:val="24"/>
          <w:szCs w:val="24"/>
          <w:highlight w:val="none"/>
        </w:rPr>
        <w:t>第四章工作时限及安排</w:t>
      </w:r>
      <w:bookmarkEnd w:id="138"/>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项目服务期限要求</w:t>
      </w:r>
    </w:p>
    <w:p>
      <w:pPr>
        <w:spacing w:line="360" w:lineRule="auto"/>
        <w:ind w:firstLine="480" w:firstLineChars="200"/>
        <w:rPr>
          <w:rFonts w:ascii="宋体" w:hAnsi="宋体"/>
          <w:color w:val="000000" w:themeColor="text1"/>
          <w:sz w:val="24"/>
          <w:szCs w:val="24"/>
          <w:highlight w:val="none"/>
          <w:u w:val="single"/>
        </w:rPr>
      </w:pPr>
      <w:r>
        <w:rPr>
          <w:rFonts w:hint="eastAsia" w:ascii="宋体" w:hAnsi="宋体"/>
          <w:color w:val="000000" w:themeColor="text1"/>
          <w:sz w:val="24"/>
          <w:szCs w:val="24"/>
          <w:highlight w:val="none"/>
        </w:rPr>
        <w:t>合同签订后6个</w:t>
      </w:r>
      <w:r>
        <w:rPr>
          <w:rFonts w:ascii="宋体" w:hAnsi="宋体"/>
          <w:color w:val="000000" w:themeColor="text1"/>
          <w:sz w:val="24"/>
          <w:szCs w:val="24"/>
          <w:highlight w:val="none"/>
        </w:rPr>
        <w:t>月内完成</w:t>
      </w:r>
    </w:p>
    <w:p>
      <w:pPr>
        <w:rPr>
          <w:rFonts w:ascii="Calibri" w:hAnsi="Calibri"/>
          <w:color w:val="000000" w:themeColor="text1"/>
          <w:sz w:val="24"/>
          <w:szCs w:val="24"/>
          <w:highlight w:val="none"/>
        </w:rPr>
      </w:pPr>
    </w:p>
    <w:p>
      <w:pPr>
        <w:pStyle w:val="2"/>
        <w:ind w:firstLine="482"/>
        <w:jc w:val="center"/>
        <w:rPr>
          <w:rFonts w:ascii="宋体" w:hAnsi="宋体"/>
          <w:b w:val="0"/>
          <w:color w:val="000000" w:themeColor="text1"/>
          <w:sz w:val="24"/>
          <w:szCs w:val="24"/>
          <w:highlight w:val="none"/>
        </w:rPr>
      </w:pPr>
      <w:bookmarkStart w:id="139" w:name="_Toc428202489"/>
      <w:r>
        <w:rPr>
          <w:rFonts w:hint="eastAsia" w:ascii="宋体" w:hAnsi="宋体"/>
          <w:color w:val="000000" w:themeColor="text1"/>
          <w:sz w:val="24"/>
          <w:szCs w:val="24"/>
          <w:highlight w:val="none"/>
        </w:rPr>
        <w:t>第五章双方权利与义务</w:t>
      </w:r>
      <w:bookmarkEnd w:id="139"/>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甲方权利与义务</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5.1 </w:t>
      </w:r>
      <w:r>
        <w:rPr>
          <w:rFonts w:hint="eastAsia" w:ascii="宋体" w:hAnsi="宋体"/>
          <w:color w:val="000000" w:themeColor="text1"/>
          <w:sz w:val="24"/>
          <w:szCs w:val="24"/>
          <w:highlight w:val="none"/>
        </w:rPr>
        <w:t>甲方按照项目开发计划提供完成本项目所需环境，包括软硬件环境、工作场所等；</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5.2 </w:t>
      </w:r>
      <w:r>
        <w:rPr>
          <w:rFonts w:hint="eastAsia" w:ascii="宋体" w:hAnsi="宋体"/>
          <w:color w:val="000000" w:themeColor="text1"/>
          <w:sz w:val="24"/>
          <w:szCs w:val="24"/>
          <w:highlight w:val="none"/>
        </w:rPr>
        <w:t>甲方向乙方提供并允许乙方为开发工作目的而使用的双方商议确认的信息、数据、资料；</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5.3 </w:t>
      </w:r>
      <w:r>
        <w:rPr>
          <w:rFonts w:hint="eastAsia" w:ascii="宋体" w:hAnsi="宋体"/>
          <w:color w:val="000000" w:themeColor="text1"/>
          <w:sz w:val="24"/>
          <w:szCs w:val="24"/>
          <w:highlight w:val="none"/>
        </w:rPr>
        <w:t>甲方有对技术开发方案进行审定，及时组织项目测试及验收，确认开发成果的责任；</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5.4甲方委派专人负责其内部各部门的协调工作，并委派相关人员与乙方委派的技术人员组成项目开发组，配合项目开发工作；</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5.5有权要求乙方更换不合格的项目成员，项目成员是否合格的最终解释权归甲方所有。</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乙方权利与义务</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6.1 </w:t>
      </w:r>
      <w:r>
        <w:rPr>
          <w:rFonts w:hint="eastAsia" w:ascii="宋体" w:hAnsi="宋体"/>
          <w:color w:val="000000" w:themeColor="text1"/>
          <w:sz w:val="24"/>
          <w:szCs w:val="24"/>
          <w:highlight w:val="none"/>
        </w:rPr>
        <w:t>乙方保证其拥有从事本项目开发工作的资质及开发能力，并保证甲方使用本系统不会侵犯任何第三方知识产权，并确保甲方依据本次建设所获得的知识产权不存在任何瑕疵并且可以不受限制的行使相关权利，包括各项延伸权利。若因此发生任何争议、侵权，均应当由乙方独自承担全部责任，包括但不限于应当承担其自身及甲方为排除任何争议及</w:t>
      </w:r>
      <w:r>
        <w:rPr>
          <w:rFonts w:ascii="宋体" w:hAnsi="宋体"/>
          <w:color w:val="000000" w:themeColor="text1"/>
          <w:sz w:val="24"/>
          <w:szCs w:val="24"/>
          <w:highlight w:val="none"/>
        </w:rPr>
        <w:t>/或瑕疵所应当或所需要支付的一些相关及/或由此引起的费用。</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6.2乙方应根据甲方信息系统建设的设计要求，进行应用系统项目开发；</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6.3乙方应根据项目需求规格说明书，进行设计、开发、测试和上线工作；</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6.4乙方负责本项目项目管理，对项目开发进行严格的质量管理；</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6.5乙方应按本合同规定的项目进度进行开发工作，并按本合同规定的期限交付开发成果；</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6.6乙方应根据本合同有关条款对甲方人员进行培训；</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6.7乙方应根据本合同有关条款提供产品技术支持及服务，以保证甲方相关业务正常开展；</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6.8乙方人员在甲方现场工作期间，应严格遵守甲方的相关规章管理制度以及遵从银行业相关监督法规，特别是有关信息科技风险制度和流程。</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6.9乙方需保障甲方对外包活动的监控和检查的权利，配合甲方的内、外部审计机构的监督检查，及配合银行业监管机构的监督检查。</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6.10未经甲方同意，乙方不得将外包服务分包、转包或变相转包。甲方可要求乙方提供外包人员的入职证明以及外包人员的相关资质证明。</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6.11 </w:t>
      </w:r>
      <w:r>
        <w:rPr>
          <w:rFonts w:hint="eastAsia" w:ascii="宋体" w:hAnsi="宋体"/>
          <w:color w:val="000000" w:themeColor="text1"/>
          <w:sz w:val="24"/>
          <w:szCs w:val="24"/>
          <w:highlight w:val="none"/>
        </w:rPr>
        <w:t>乙方应配合甲方的外包绩效考核管理工作。</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6.12 </w:t>
      </w:r>
      <w:r>
        <w:rPr>
          <w:rFonts w:hint="eastAsia" w:ascii="宋体" w:hAnsi="宋体"/>
          <w:color w:val="000000" w:themeColor="text1"/>
          <w:sz w:val="24"/>
          <w:szCs w:val="24"/>
          <w:highlight w:val="none"/>
        </w:rPr>
        <w:t>乙方应根据甲方要求及时调换现场实施人员。</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6.13 </w:t>
      </w:r>
      <w:r>
        <w:rPr>
          <w:rFonts w:hint="eastAsia" w:ascii="宋体" w:hAnsi="宋体"/>
          <w:color w:val="000000" w:themeColor="text1"/>
          <w:sz w:val="24"/>
          <w:szCs w:val="24"/>
          <w:highlight w:val="none"/>
        </w:rPr>
        <w:t>乙方禁止以重庆银行的名义开展其他活动。</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6.14因履行合同而发生的一切安全保障责任、人身伤亡事故及造成的经济损失由乙方承担赔偿责任。</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6.15乙方应严格按照消费者权益保护相关法律法规、监管规定的要求执行，乙方负有保护甲方个人金融信息的职责和保密义务，以保护甲方金融消费者合法权益。</w:t>
      </w:r>
    </w:p>
    <w:p>
      <w:pPr>
        <w:pStyle w:val="2"/>
        <w:ind w:firstLine="482"/>
        <w:jc w:val="center"/>
        <w:rPr>
          <w:rFonts w:ascii="宋体" w:hAnsi="宋体"/>
          <w:color w:val="000000" w:themeColor="text1"/>
          <w:sz w:val="24"/>
          <w:szCs w:val="24"/>
          <w:highlight w:val="none"/>
        </w:rPr>
      </w:pPr>
      <w:bookmarkStart w:id="140" w:name="_Toc428202490"/>
      <w:r>
        <w:rPr>
          <w:rFonts w:hint="eastAsia" w:ascii="宋体" w:hAnsi="宋体"/>
          <w:color w:val="000000" w:themeColor="text1"/>
          <w:sz w:val="24"/>
          <w:szCs w:val="24"/>
          <w:highlight w:val="none"/>
        </w:rPr>
        <w:t>第六章项目履行与验收</w:t>
      </w:r>
      <w:bookmarkEnd w:id="140"/>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甲乙双方按照项目工作范围和项目计划共同讨论项目业务需求，完成需求差异分析阶段后，由甲方最终确认并共同签署《重庆银行</w:t>
      </w:r>
      <w:r>
        <w:rPr>
          <w:rFonts w:ascii="宋体" w:hAnsi="宋体"/>
          <w:color w:val="000000" w:themeColor="text1"/>
          <w:sz w:val="24"/>
          <w:szCs w:val="24"/>
          <w:highlight w:val="none"/>
        </w:rPr>
        <w:t>___________建设项目需求规格说明书》。</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乙方需严格按照附件一的内容进行项目实施，若乙方擅自更改工作范围说明书中的内容，未和甲方协商，且给甲方造成经济损失，甲方有权追究乙方的经济赔偿。</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甲方将根据附件一的项目交付物及本合同的服务质量要求对乙方的项目成果进行现场验收。</w:t>
      </w:r>
    </w:p>
    <w:p>
      <w:pPr>
        <w:pStyle w:val="2"/>
        <w:ind w:firstLine="482"/>
        <w:jc w:val="center"/>
        <w:rPr>
          <w:rFonts w:ascii="宋体" w:hAnsi="宋体"/>
          <w:color w:val="000000" w:themeColor="text1"/>
          <w:sz w:val="24"/>
          <w:szCs w:val="24"/>
          <w:highlight w:val="none"/>
        </w:rPr>
      </w:pPr>
      <w:bookmarkStart w:id="141" w:name="_Toc428202491"/>
      <w:r>
        <w:rPr>
          <w:rFonts w:hint="eastAsia" w:ascii="宋体" w:hAnsi="宋体"/>
          <w:color w:val="000000" w:themeColor="text1"/>
          <w:sz w:val="24"/>
          <w:szCs w:val="24"/>
          <w:highlight w:val="none"/>
        </w:rPr>
        <w:t>第七章服务质量要求</w:t>
      </w:r>
      <w:bookmarkEnd w:id="141"/>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保证其交付的开发软件产品的所有内容与功能符合招标文件需求。乙方保证在本合同项下提供给甲方的开发软件符合软件工程要求和有关软件技术标准，符合甲方提前告知的质量体系要求，并且不会对甲方的系统造成损害。</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保证在本合同项下提供给甲方的应用系统源代码（包括表现层和数据层源代码及业务层相关接口支持、二次开发和报表的全部源代码）和技术文档符合甲方提前告知的规范要求。乙方保证开发软件产品不含有或携带软件病毒、后门等危害和妨碍甲方系统及软件运行的程序和内容</w:t>
      </w:r>
      <w:r>
        <w:rPr>
          <w:rFonts w:ascii="宋体" w:hAnsi="宋体"/>
          <w:color w:val="000000" w:themeColor="text1"/>
          <w:sz w:val="24"/>
          <w:szCs w:val="24"/>
          <w:highlight w:val="none"/>
        </w:rPr>
        <w:t>,开发并提供给甲方的软件产品是安全的、适用的，如出现软件中存在安全漏洞或其他缺陷导致甲方损失（其中包括甲方因使用该软件而对第三人承担赔偿责任而导致的损失），乙方承担相应的赔偿责任。</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乙方保证在本合同项下提供给甲方的应用系统具有良好的可维护性。</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乙方需严格按照甲方的开发流程指导项目实施，乙方所提供交付物的审核结果将作为验收付款条件，具体要求如下：</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1.开发文档，乙方需要在相应阶段提供的项目文档包括：</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（一）系统需求分析阶段：《需求规格说明书》，《技术方案建议书》；</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（二）系统设计阶段：《概要设计说明书》、《详细设计说明书》、《数据库设计说明书》、《数据字典》、《系统安全设计方案》；</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（三）系统开发阶段：《总体开发方案》和《总体开发计划》；</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（四）系统上线阶段：《用户手册》、《维护手册》、《上线实施方案》、《上线应急方案》；</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（五）系统运维阶段：《系统使用培训课件》、《二次开发培训课件》；</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（六）文档模板由甲方提供，文档质量由甲方认可，认可结果作为验收付款条件。</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2.系统源代码，项目结束后乙方提供本合同项下全部应用源代码，其中为甲方客户化部分源代码的知识产权归甲方所有；其余部分源代码的知识产权为乙方所有，甲方拥有本合同项下非转让的永久免费使用权。</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3.所有项目文档需能够结合甲方系统建设的现状进行编写，所提供的文档内容、格式需统一。</w:t>
      </w:r>
    </w:p>
    <w:p>
      <w:pPr>
        <w:pStyle w:val="2"/>
        <w:ind w:firstLine="482"/>
        <w:jc w:val="center"/>
        <w:rPr>
          <w:rFonts w:ascii="宋体" w:hAnsi="宋体"/>
          <w:color w:val="000000" w:themeColor="text1"/>
          <w:sz w:val="24"/>
          <w:szCs w:val="24"/>
          <w:highlight w:val="none"/>
        </w:rPr>
      </w:pPr>
      <w:bookmarkStart w:id="142" w:name="_Toc428202492"/>
      <w:r>
        <w:rPr>
          <w:rFonts w:hint="eastAsia" w:ascii="宋体" w:hAnsi="宋体"/>
          <w:color w:val="000000" w:themeColor="text1"/>
          <w:sz w:val="24"/>
          <w:szCs w:val="24"/>
          <w:highlight w:val="none"/>
        </w:rPr>
        <w:t>第八章合同价款与结算</w:t>
      </w:r>
      <w:bookmarkEnd w:id="142"/>
    </w:p>
    <w:p>
      <w:pPr>
        <w:pStyle w:val="285"/>
        <w:numPr>
          <w:ilvl w:val="0"/>
          <w:numId w:val="9"/>
        </w:numPr>
        <w:ind w:left="567"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合同价款</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本次合同金额：共计人民币大写：</w:t>
      </w:r>
      <w:r>
        <w:rPr>
          <w:rFonts w:ascii="宋体" w:hAnsi="宋体"/>
          <w:color w:val="000000" w:themeColor="text1"/>
          <w:sz w:val="24"/>
          <w:szCs w:val="24"/>
          <w:highlight w:val="none"/>
        </w:rPr>
        <w:t>_________________（¥___________），该价格为包含全部相关税费的最终价格、包干价。</w:t>
      </w:r>
    </w:p>
    <w:p>
      <w:pPr>
        <w:pStyle w:val="285"/>
        <w:numPr>
          <w:ilvl w:val="0"/>
          <w:numId w:val="9"/>
        </w:numPr>
        <w:ind w:left="426" w:firstLineChars="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  合同付款与结算</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甲方按以下方式支付开发费：</w:t>
      </w:r>
    </w:p>
    <w:p>
      <w:pPr>
        <w:adjustRightInd w:val="0"/>
        <w:snapToGrid w:val="0"/>
        <w:spacing w:line="260" w:lineRule="atLeast"/>
        <w:ind w:left="210" w:leftChars="1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15.1、合同签订后，支付合同总金额的20%；</w:t>
      </w:r>
    </w:p>
    <w:p>
      <w:pPr>
        <w:adjustRightInd w:val="0"/>
        <w:snapToGrid w:val="0"/>
        <w:spacing w:line="260" w:lineRule="atLeast"/>
        <w:ind w:left="210" w:leftChars="1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15.2、系统第一批功能上线成功后，支付合同总金额的30%；</w:t>
      </w:r>
    </w:p>
    <w:p>
      <w:pPr>
        <w:adjustRightInd w:val="0"/>
        <w:snapToGrid w:val="0"/>
        <w:spacing w:line="260" w:lineRule="atLeast"/>
        <w:ind w:left="210" w:leftChars="1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15.3、系统最终验收且完成所有功能上线，支付合同总金额的40%；</w:t>
      </w:r>
    </w:p>
    <w:p>
      <w:pPr>
        <w:ind w:firstLine="480" w:firstLineChars="200"/>
        <w:jc w:val="left"/>
        <w:rPr>
          <w:rFonts w:ascii="宋体" w:hAnsi="宋体"/>
          <w:color w:val="000000" w:themeColor="text1"/>
          <w:sz w:val="24"/>
          <w:szCs w:val="24"/>
          <w:highlight w:val="none"/>
        </w:rPr>
      </w:pPr>
      <w:r>
        <w:rPr>
          <w:rFonts w:hint="eastAsia" w:ascii="仿宋" w:hAnsi="仿宋" w:eastAsia="仿宋"/>
          <w:color w:val="000000" w:themeColor="text1"/>
          <w:sz w:val="24"/>
          <w:szCs w:val="24"/>
          <w:highlight w:val="none"/>
        </w:rPr>
        <w:t>15.4、最终验收且完成所有功能上线的1年后，支付合同总金额的10%。</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15.5、超出本合同范围内需求，经甲方确认造成乙方人员增加工作量的，甲方应对增加部分的工作支付乙方相应的人工费，人工费按照人民币¥元/人月的标准计算，由甲乙双方另行签订合同。</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15.6、甲方付款前，乙方具有先行开具等额一般纳税人合法增值税专用发票的义务。</w:t>
      </w:r>
    </w:p>
    <w:p>
      <w:pPr>
        <w:pStyle w:val="285"/>
        <w:numPr>
          <w:ilvl w:val="0"/>
          <w:numId w:val="9"/>
        </w:numPr>
        <w:ind w:left="426" w:firstLineChars="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  合同价款以人民币结算，采用汇款形式。</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乙方指定的收款账户信息以乙方提供的《付款申请书》中的内容为准，付款申请材料包括：</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16.1、与应付款等额的符合国家财税规定的与乙方公司名称一致的发票；</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16.2、乙方提交其盖章的付款申请；</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16.3、有甲方相关部门出具的证明乙方工作质量和交付物合格的证明文件；</w:t>
      </w:r>
    </w:p>
    <w:p>
      <w:pPr>
        <w:pStyle w:val="2"/>
        <w:ind w:firstLine="482"/>
        <w:jc w:val="center"/>
        <w:rPr>
          <w:rFonts w:ascii="宋体" w:hAnsi="宋体"/>
          <w:color w:val="000000" w:themeColor="text1"/>
          <w:sz w:val="24"/>
          <w:szCs w:val="24"/>
          <w:highlight w:val="none"/>
        </w:rPr>
      </w:pPr>
      <w:bookmarkStart w:id="143" w:name="_Toc428202493"/>
      <w:r>
        <w:rPr>
          <w:rFonts w:hint="eastAsia" w:ascii="宋体" w:hAnsi="宋体"/>
          <w:color w:val="000000" w:themeColor="text1"/>
          <w:sz w:val="24"/>
          <w:szCs w:val="24"/>
          <w:highlight w:val="none"/>
        </w:rPr>
        <w:t>第九章知识产权保护</w:t>
      </w:r>
      <w:bookmarkEnd w:id="143"/>
    </w:p>
    <w:p>
      <w:pPr>
        <w:pStyle w:val="285"/>
        <w:numPr>
          <w:ilvl w:val="0"/>
          <w:numId w:val="9"/>
        </w:numPr>
        <w:ind w:left="0" w:firstLine="284"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版权、使用权、转让权的分属</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17.1甲方独享有本合同项下开发应用成果软件的所有知识产权，未经甲方许可，乙方不得以任何形式侵犯甲方的知识产权。</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17.2 </w:t>
      </w:r>
      <w:r>
        <w:rPr>
          <w:rFonts w:hint="eastAsia" w:ascii="宋体" w:hAnsi="宋体"/>
          <w:color w:val="000000" w:themeColor="text1"/>
          <w:sz w:val="24"/>
          <w:szCs w:val="24"/>
          <w:highlight w:val="none"/>
        </w:rPr>
        <w:t>乙方交给甲方的应用系统软件平台等系统所有源代码及相关技术文档，甲方可以在该源代码基础上进行开发，具体开发出的新系统和知识产权归属甲方。</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 xml:space="preserve">17.3 </w:t>
      </w:r>
      <w:r>
        <w:rPr>
          <w:rFonts w:hint="eastAsia" w:ascii="宋体" w:hAnsi="宋体"/>
          <w:color w:val="000000" w:themeColor="text1"/>
          <w:sz w:val="24"/>
          <w:szCs w:val="24"/>
          <w:highlight w:val="none"/>
        </w:rPr>
        <w:t>乙方保证履行本合同中均不得侵犯任何合法知识产权，由于软件使用产生的一切知识产权纠纷责任均由乙方承担。该条款有效期不随合同的结束而终止。因乙方提供的产品或服务导致甲方受到有关侵犯其专利权、商标权或著作权等知识产权的指控，由乙方负责与第三方交涉并承担一切法律责任与因此产生的所有费用。甲方因此而遭受损失的由乙方承担。</w:t>
      </w:r>
    </w:p>
    <w:p>
      <w:pPr>
        <w:pStyle w:val="2"/>
        <w:ind w:firstLine="482"/>
        <w:jc w:val="center"/>
        <w:rPr>
          <w:rFonts w:ascii="宋体" w:hAnsi="宋体"/>
          <w:color w:val="000000" w:themeColor="text1"/>
          <w:sz w:val="24"/>
          <w:szCs w:val="24"/>
          <w:highlight w:val="none"/>
        </w:rPr>
      </w:pPr>
      <w:bookmarkStart w:id="144" w:name="_Toc428202494"/>
      <w:r>
        <w:rPr>
          <w:rFonts w:hint="eastAsia" w:ascii="宋体" w:hAnsi="宋体"/>
          <w:color w:val="000000" w:themeColor="text1"/>
          <w:sz w:val="24"/>
          <w:szCs w:val="24"/>
          <w:highlight w:val="none"/>
        </w:rPr>
        <w:t>第十章安全保密承诺</w:t>
      </w:r>
      <w:bookmarkEnd w:id="144"/>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乙双方在订立合同过程中知悉的商业秘密、版权、专利等，无论合同是否成立，不得泄露或者不正当地使用。泄露或者不正当地使用给对方造成损失的，应当承担损害赔偿责任。保密责任不因本合同履行完毕而解除。</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生效后，任何一方向另一方提供的、该另一方不能从公共渠道取得的信息均构成提供方的保密信息，接受信息的一方除非以履行本合同为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应对本合同的内容保密，未经甲方书面同意，乙方不得将合同、合同附件、与合同有关的计划和项目书及资料等泄露给其他单位和个人。乙方依据本合同所实施的工作均以甲方的名义进行，如有违反，给甲方造成损失，乙方应承担赔偿责任，对此甲方有权解除合同。</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乙双方应当告知并以适当方式约束相关人员或公司、公司分支机构，在合同履行期内及合同目的达成后或人员离职后仍在保密期限内承担保密义务。如相关人员或公司、公司分支机构等泄露保密信息，违约方应承担违反保密义务的法律责任。</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未按本合同约定使用保密信息或者泄露保密信息，甲方有权终止双方的合作项目并要求乙方赔偿损失；如乙方及其工作人员未按本合同约定使用保密信息或者泄露保密信息而触犯有关法律，甲方有权依法请求有关部门追究乙方的民事责任。</w:t>
      </w:r>
    </w:p>
    <w:p>
      <w:pPr>
        <w:pStyle w:val="2"/>
        <w:ind w:firstLine="482"/>
        <w:jc w:val="center"/>
        <w:rPr>
          <w:rFonts w:ascii="宋体" w:hAnsi="宋体"/>
          <w:b w:val="0"/>
          <w:color w:val="000000" w:themeColor="text1"/>
          <w:sz w:val="24"/>
          <w:szCs w:val="24"/>
          <w:highlight w:val="none"/>
        </w:rPr>
      </w:pPr>
      <w:bookmarkStart w:id="145" w:name="_Toc428202495"/>
      <w:r>
        <w:rPr>
          <w:rFonts w:hint="eastAsia" w:ascii="宋体" w:hAnsi="宋体"/>
          <w:color w:val="000000" w:themeColor="text1"/>
          <w:sz w:val="24"/>
          <w:szCs w:val="24"/>
          <w:highlight w:val="none"/>
        </w:rPr>
        <w:t>第十一章知识转移及培训</w:t>
      </w:r>
      <w:bookmarkEnd w:id="145"/>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乙方需在项目实现阶段组织甲方参与人员进行培训。</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乙方需在开发周期内通过阶段性培训、项目交付物、合作开发部分模块等方式完成培训。</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1.业务知识转移需求</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通过业务培训以提升甲方业务人员对系统功能的理解和运用。</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2.运维知识转移需求</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通过培训甲方运维人员，使运维人员熟悉系统工作模式，数据结构和数据处理、流转原理，查看系统日志能初步判断出系统运行状况。</w:t>
      </w:r>
    </w:p>
    <w:p>
      <w:pPr>
        <w:ind w:firstLine="480" w:firstLineChars="200"/>
        <w:jc w:val="left"/>
        <w:rPr>
          <w:rFonts w:ascii="宋体" w:hAnsi="宋体"/>
          <w:color w:val="000000" w:themeColor="text1"/>
          <w:sz w:val="24"/>
          <w:szCs w:val="24"/>
          <w:highlight w:val="none"/>
        </w:rPr>
      </w:pPr>
      <w:r>
        <w:rPr>
          <w:rFonts w:ascii="宋体" w:hAnsi="宋体"/>
          <w:color w:val="000000" w:themeColor="text1"/>
          <w:sz w:val="24"/>
          <w:szCs w:val="24"/>
          <w:highlight w:val="none"/>
        </w:rPr>
        <w:t>3.技术知识转移需求</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通过培训甲方技术人员和关联业务系统开发人员，指导其完成各个业务系统的集成接入开发工作，使技术人员熟练掌握厂商集成开发工具，平台数据结构和数据处理、流转原理，达到独立二次开发的目的。</w:t>
      </w:r>
    </w:p>
    <w:p>
      <w:pPr>
        <w:pStyle w:val="2"/>
        <w:ind w:firstLine="482"/>
        <w:jc w:val="center"/>
        <w:rPr>
          <w:rFonts w:ascii="宋体" w:hAnsi="宋体"/>
          <w:b w:val="0"/>
          <w:color w:val="000000" w:themeColor="text1"/>
          <w:sz w:val="24"/>
          <w:szCs w:val="24"/>
          <w:highlight w:val="none"/>
        </w:rPr>
      </w:pPr>
      <w:bookmarkStart w:id="146" w:name="_Toc428202496"/>
      <w:r>
        <w:rPr>
          <w:rFonts w:hint="eastAsia" w:ascii="宋体" w:hAnsi="宋体"/>
          <w:color w:val="000000" w:themeColor="text1"/>
          <w:sz w:val="24"/>
          <w:szCs w:val="24"/>
          <w:highlight w:val="none"/>
        </w:rPr>
        <w:t>第十二章服务水平协议</w:t>
      </w:r>
      <w:bookmarkEnd w:id="146"/>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免费维护期为本合同项下的重庆银行</w:t>
      </w:r>
      <w:r>
        <w:rPr>
          <w:rFonts w:ascii="宋体" w:hAnsi="宋体"/>
          <w:color w:val="000000" w:themeColor="text1"/>
          <w:sz w:val="24"/>
          <w:szCs w:val="24"/>
          <w:highlight w:val="none"/>
        </w:rPr>
        <w:t>_______________建设项目最终验收合格之日起连续的12个月，包含上线后至少2个人三个月的现场维护工作。</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免费维护期内，乙方对本合同项下的重庆银行</w:t>
      </w:r>
      <w:r>
        <w:rPr>
          <w:rFonts w:ascii="宋体" w:hAnsi="宋体"/>
          <w:color w:val="000000" w:themeColor="text1"/>
          <w:sz w:val="24"/>
          <w:szCs w:val="24"/>
          <w:highlight w:val="none"/>
        </w:rPr>
        <w:t>________建设项目提供（7*24小时）免费维护服务和相关的技术咨询，服务标准应满足技术指标和参数的要求，详细见附件二：《外包服务水平协议》。</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免费维护期内，乙方为甲方提供及时的故障排除服务。解决故障的方式包括电话、电子邮件和现场指导。在系统出现故障，且不能通过电话和电子邮件有效的解决问题时，乙方应及时派出有经验的技术人员到现场进行故障诊断，尽快排除故障，乙方需根据附件三《现场技术支持人员清单》，提供现场技术支持人员及联系方式。</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免费维护期满后，甲方以每年不高于</w:t>
      </w:r>
      <w:r>
        <w:rPr>
          <w:rFonts w:hint="eastAsia" w:ascii="宋体" w:hAnsi="宋体"/>
          <w:color w:val="000000" w:themeColor="text1"/>
          <w:sz w:val="24"/>
          <w:szCs w:val="24"/>
          <w:highlight w:val="none"/>
          <w:u w:val="single"/>
        </w:rPr>
        <w:t>元整</w:t>
      </w:r>
      <w:r>
        <w:rPr>
          <w:rFonts w:hint="eastAsia" w:ascii="宋体" w:hAnsi="宋体"/>
          <w:color w:val="000000" w:themeColor="text1"/>
          <w:sz w:val="24"/>
          <w:szCs w:val="24"/>
          <w:highlight w:val="none"/>
        </w:rPr>
        <w:t>（¥</w:t>
      </w:r>
      <w:r>
        <w:rPr>
          <w:rFonts w:hint="eastAsia" w:ascii="宋体" w:hAnsi="宋体"/>
          <w:color w:val="000000" w:themeColor="text1"/>
          <w:sz w:val="24"/>
          <w:szCs w:val="24"/>
          <w:highlight w:val="none"/>
          <w:u w:val="single"/>
        </w:rPr>
        <w:t>____</w:t>
      </w:r>
      <w:r>
        <w:rPr>
          <w:rFonts w:hint="eastAsia" w:ascii="宋体" w:hAnsi="宋体"/>
          <w:color w:val="000000" w:themeColor="text1"/>
          <w:sz w:val="24"/>
          <w:szCs w:val="24"/>
          <w:highlight w:val="none"/>
        </w:rPr>
        <w:t>）的价格向乙方采购维保服务。维护期内，乙方向甲方提供</w:t>
      </w:r>
      <w:r>
        <w:rPr>
          <w:rFonts w:ascii="宋体" w:hAnsi="宋体"/>
          <w:color w:val="000000" w:themeColor="text1"/>
          <w:sz w:val="24"/>
          <w:szCs w:val="24"/>
          <w:highlight w:val="none"/>
        </w:rPr>
        <w:t>7*24小时电话支持、远程技术支持、现场故障解决等服务。系统本身的bug或者设计缺陷应有乙方无条件修复。</w:t>
      </w:r>
    </w:p>
    <w:p>
      <w:pPr>
        <w:pStyle w:val="2"/>
        <w:ind w:firstLine="482"/>
        <w:jc w:val="center"/>
        <w:rPr>
          <w:rFonts w:ascii="宋体" w:hAnsi="宋体"/>
          <w:color w:val="000000" w:themeColor="text1"/>
          <w:sz w:val="24"/>
          <w:szCs w:val="24"/>
          <w:highlight w:val="none"/>
        </w:rPr>
      </w:pPr>
      <w:bookmarkStart w:id="147" w:name="_Toc428202497"/>
      <w:r>
        <w:rPr>
          <w:rFonts w:hint="eastAsia" w:ascii="宋体" w:hAnsi="宋体"/>
          <w:color w:val="000000" w:themeColor="text1"/>
          <w:sz w:val="24"/>
          <w:szCs w:val="24"/>
          <w:highlight w:val="none"/>
        </w:rPr>
        <w:t>第十三章审计与监督</w:t>
      </w:r>
      <w:bookmarkEnd w:id="147"/>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在本合同有效期内，甲方对乙方拥有审计监督的权力。</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在本合同有效期内，乙方承诺接受甲方或委托机构和银监机构对其服务活动进行监督和检查。</w:t>
      </w:r>
    </w:p>
    <w:p>
      <w:pPr>
        <w:pStyle w:val="2"/>
        <w:ind w:firstLine="482"/>
        <w:jc w:val="center"/>
        <w:rPr>
          <w:rFonts w:ascii="宋体" w:hAnsi="宋体"/>
          <w:color w:val="000000" w:themeColor="text1"/>
          <w:sz w:val="24"/>
          <w:szCs w:val="24"/>
          <w:highlight w:val="none"/>
        </w:rPr>
      </w:pPr>
      <w:bookmarkStart w:id="148" w:name="_Toc428202498"/>
      <w:r>
        <w:rPr>
          <w:rFonts w:hint="eastAsia" w:ascii="宋体" w:hAnsi="宋体"/>
          <w:color w:val="000000" w:themeColor="text1"/>
          <w:sz w:val="24"/>
          <w:szCs w:val="24"/>
          <w:highlight w:val="none"/>
        </w:rPr>
        <w:t>第十四章监管及合规遵从</w:t>
      </w:r>
      <w:bookmarkEnd w:id="148"/>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在本合同有效期内，乙方所开发的系统需能够满足银监机构对于此系统的安全与合规要求，若不满足其要求，需按照第三方安全评估机构的要求辅助甲方进行整改，直至满足合规要求。</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在本合同有效期内，乙方所开发的系统需能够满足银监机构、行内审计部门、合规部门对其系统的检查与审计需求，乙方需配合甲方完成监管及内控要求的设计与实施工作。</w:t>
      </w:r>
    </w:p>
    <w:p>
      <w:pPr>
        <w:pStyle w:val="2"/>
        <w:ind w:firstLine="482"/>
        <w:jc w:val="center"/>
        <w:rPr>
          <w:rFonts w:ascii="宋体" w:hAnsi="宋体"/>
          <w:color w:val="000000" w:themeColor="text1"/>
          <w:sz w:val="24"/>
          <w:szCs w:val="24"/>
          <w:highlight w:val="none"/>
        </w:rPr>
      </w:pPr>
      <w:bookmarkStart w:id="149" w:name="_Toc428202499"/>
      <w:r>
        <w:rPr>
          <w:rFonts w:hint="eastAsia" w:ascii="宋体" w:hAnsi="宋体"/>
          <w:color w:val="000000" w:themeColor="text1"/>
          <w:sz w:val="24"/>
          <w:szCs w:val="24"/>
          <w:highlight w:val="none"/>
        </w:rPr>
        <w:t>第十五章禁止分包、转包开发</w:t>
      </w:r>
      <w:bookmarkEnd w:id="149"/>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有效期内，乙方必须亲自履行甲方委托的开发项目，未征得甲方的书面同意，不得将其在本合同项下的受托项目部分或全部转让给其它第三方执行。违反本项规定的，乙方构成根本违约，甲方有权单方解除合同，要求乙方按本合同金额的</w:t>
      </w:r>
      <w:r>
        <w:rPr>
          <w:rFonts w:ascii="宋体" w:hAnsi="宋体"/>
          <w:color w:val="000000" w:themeColor="text1"/>
          <w:sz w:val="24"/>
          <w:szCs w:val="24"/>
          <w:highlight w:val="none"/>
        </w:rPr>
        <w:t>20%承担违约责任，并要求乙方赔偿甲方产生的实际损失。</w:t>
      </w:r>
    </w:p>
    <w:p>
      <w:pPr>
        <w:pStyle w:val="2"/>
        <w:ind w:firstLine="482"/>
        <w:jc w:val="center"/>
        <w:rPr>
          <w:rFonts w:ascii="宋体" w:hAnsi="宋体"/>
          <w:color w:val="000000" w:themeColor="text1"/>
          <w:sz w:val="24"/>
          <w:szCs w:val="24"/>
          <w:highlight w:val="none"/>
        </w:rPr>
      </w:pPr>
      <w:bookmarkStart w:id="150" w:name="_Toc428202500"/>
      <w:r>
        <w:rPr>
          <w:rFonts w:hint="eastAsia" w:ascii="宋体" w:hAnsi="宋体"/>
          <w:color w:val="000000" w:themeColor="text1"/>
          <w:sz w:val="24"/>
          <w:szCs w:val="24"/>
          <w:highlight w:val="none"/>
        </w:rPr>
        <w:t>第十六章服务连续性与应急管理</w:t>
      </w:r>
      <w:bookmarkEnd w:id="150"/>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签订合同时，乙方项目经理在项目开始之前针对项目考虑有关服务无法持续进行、项目被迫中断、外包商倒闭或陷入重大经济、财务、法律事项后的应急预案。同时，应针对项目制定相应的应急计划，采取适当措施评估及解决因服务商业务中断或其它问题导致的可能后果。</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签订合同时，乙方在项目结束之前需提供专门的应急计划，包括灾难恢复计划及备份设施的测试计划。</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签订合同时，乙方需明确应该提供的业务连续性保障水平，以及提供相关资源的承诺，乙方应满足甲方连续服务性管理目标要求，优先响应甲方业务连续性目标和应急管理要求。</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签订合同时，乙方需明确报告条款，至少包括常规报告内容和报告频度、突发事件时的报告路线、报告方式及时限要求。</w:t>
      </w:r>
    </w:p>
    <w:p>
      <w:pPr>
        <w:pStyle w:val="2"/>
        <w:ind w:firstLine="482"/>
        <w:jc w:val="center"/>
        <w:rPr>
          <w:rFonts w:ascii="宋体" w:hAnsi="宋体"/>
          <w:color w:val="000000" w:themeColor="text1"/>
          <w:sz w:val="24"/>
          <w:szCs w:val="24"/>
          <w:highlight w:val="none"/>
        </w:rPr>
      </w:pPr>
      <w:bookmarkStart w:id="151" w:name="_Toc428202501"/>
      <w:r>
        <w:rPr>
          <w:rFonts w:hint="eastAsia" w:ascii="宋体" w:hAnsi="宋体"/>
          <w:color w:val="000000" w:themeColor="text1"/>
          <w:sz w:val="24"/>
          <w:szCs w:val="24"/>
          <w:highlight w:val="none"/>
        </w:rPr>
        <w:t>第十七章不可抗力</w:t>
      </w:r>
      <w:bookmarkEnd w:id="151"/>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所称不可抗力是指不能预见、不能避免、不能克服并对当事人造成重大影响的客观情况，包括但不限于自然灾害如洪水、地震、火灾和风暴等以及社会事件如战争、动乱、罢工、政府行为或法律规定及政策变化等。</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在本合同履行期间，如发生不可抗力事件造成不能按照约定履行本合同的，遇不可抗力的一方应立即将该事件情况书面告知另一方，并应在</w:t>
      </w:r>
      <w:r>
        <w:rPr>
          <w:rFonts w:ascii="宋体" w:hAnsi="宋体"/>
          <w:color w:val="000000" w:themeColor="text1"/>
          <w:sz w:val="24"/>
          <w:szCs w:val="24"/>
          <w:highlight w:val="none"/>
        </w:rPr>
        <w:t>10日内，提供不可抗力事件证明材料及合同不能履行或者需要延期履行的书面材料，经双方认可后协商终止合同或暂时延迟合同的履行。</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因不可抗力不能履行合同的，根据不可抗力的影响，部分或全部免除责任，但双方另有约定的除外。当事人延迟履行后发生不可抗力的，不能免除责任。</w:t>
      </w:r>
    </w:p>
    <w:p>
      <w:pPr>
        <w:pStyle w:val="2"/>
        <w:ind w:firstLine="482"/>
        <w:jc w:val="center"/>
        <w:rPr>
          <w:rFonts w:ascii="宋体" w:hAnsi="宋体"/>
          <w:b w:val="0"/>
          <w:color w:val="000000" w:themeColor="text1"/>
          <w:sz w:val="24"/>
          <w:szCs w:val="24"/>
          <w:highlight w:val="none"/>
        </w:rPr>
      </w:pPr>
      <w:bookmarkStart w:id="152" w:name="_Toc428202502"/>
      <w:r>
        <w:rPr>
          <w:rFonts w:hint="eastAsia" w:ascii="宋体" w:hAnsi="宋体"/>
          <w:color w:val="000000" w:themeColor="text1"/>
          <w:sz w:val="24"/>
          <w:szCs w:val="24"/>
          <w:highlight w:val="none"/>
        </w:rPr>
        <w:t>第十八章双方违约责任</w:t>
      </w:r>
      <w:bookmarkEnd w:id="152"/>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交付违约，乙方应在合同所规定的时间内完成和交付本合同规定的项目。如乙方未依据本合同的规定完成和规定本合同所规定的义务。违约金的具体确定方式依照附件二《外包服务水平协议》执行。</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如延期时间超过</w:t>
      </w:r>
      <w:r>
        <w:rPr>
          <w:rFonts w:ascii="宋体" w:hAnsi="宋体"/>
          <w:color w:val="000000" w:themeColor="text1"/>
          <w:sz w:val="24"/>
          <w:szCs w:val="24"/>
          <w:highlight w:val="none"/>
        </w:rPr>
        <w:t>60天，甲方有权终止合同，</w:t>
      </w:r>
      <w:r>
        <w:rPr>
          <w:rFonts w:hint="eastAsia" w:ascii="宋体" w:hAnsi="宋体"/>
          <w:color w:val="000000" w:themeColor="text1"/>
          <w:sz w:val="24"/>
          <w:szCs w:val="24"/>
          <w:highlight w:val="none"/>
        </w:rPr>
        <w:t>除合同约定的履约保证金外，并要求乙方支付合同总价的</w:t>
      </w:r>
      <w:r>
        <w:rPr>
          <w:rFonts w:ascii="宋体" w:hAnsi="宋体"/>
          <w:color w:val="000000" w:themeColor="text1"/>
          <w:sz w:val="24"/>
          <w:szCs w:val="24"/>
          <w:highlight w:val="none"/>
        </w:rPr>
        <w:t>5%作为对甲方的赔偿。如甲方由此终止本合同，乙方应在两个星期内返还甲方所支付的费用和报酬并依甲方的指示退还或销毁所有的基础性文件和原始资料，并赔偿甲方由此而引起的直接和间接损失。</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付款违约，若甲方未按照合同规定期限付款，每延迟</w:t>
      </w:r>
      <w:r>
        <w:rPr>
          <w:rFonts w:ascii="宋体" w:hAnsi="宋体"/>
          <w:color w:val="000000" w:themeColor="text1"/>
          <w:sz w:val="24"/>
          <w:szCs w:val="24"/>
          <w:highlight w:val="none"/>
        </w:rPr>
        <w:t>20个工作日，甲方应向乙方支付合同总价0.5%的违约金，但违约金的总数不超过合同总价的__5__%；</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保密违约，任何一方违反本合同所规定的保密义务，违约方应按本合同总价的</w:t>
      </w:r>
      <w:r>
        <w:rPr>
          <w:rFonts w:ascii="宋体" w:hAnsi="宋体"/>
          <w:color w:val="000000" w:themeColor="text1"/>
          <w:sz w:val="24"/>
          <w:szCs w:val="24"/>
          <w:highlight w:val="none"/>
        </w:rPr>
        <w:t>5%支付违约金。如甲方实际损失超过该违约金的，受损失一</w:t>
      </w:r>
      <w:r>
        <w:rPr>
          <w:rFonts w:hint="eastAsia" w:ascii="宋体" w:hAnsi="宋体"/>
          <w:color w:val="000000" w:themeColor="text1"/>
          <w:sz w:val="24"/>
          <w:szCs w:val="24"/>
          <w:highlight w:val="none"/>
        </w:rPr>
        <w:t>方有权要求对方赔偿超过部分。</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其他条款违约，任何一方违反本合同所规定的其他义务，除本合同另有规定外，违约方按合同总价的</w:t>
      </w:r>
      <w:r>
        <w:rPr>
          <w:rFonts w:ascii="宋体" w:hAnsi="宋体"/>
          <w:color w:val="000000" w:themeColor="text1"/>
          <w:sz w:val="24"/>
          <w:szCs w:val="24"/>
          <w:highlight w:val="none"/>
        </w:rPr>
        <w:t>5%金额向对方支付违约金。</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按本合同赔偿的违约金应在</w:t>
      </w:r>
      <w:r>
        <w:rPr>
          <w:rFonts w:ascii="宋体" w:hAnsi="宋体"/>
          <w:color w:val="000000" w:themeColor="text1"/>
          <w:sz w:val="24"/>
          <w:szCs w:val="24"/>
          <w:highlight w:val="none"/>
        </w:rPr>
        <w:t>15个工作日内付清，否则，按逾期付款处理，即每迟延一日按合同总额的0.03%支付罚息。</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在本合同项下，乙方承诺为甲方配备相对独立的外包服务资源，包括服务团队、系统等，并确保资源及时到位；甲方有权对乙方提供的资源进行定期检查，若乙方未满足要求，乙方应向甲方支付</w:t>
      </w:r>
      <w:r>
        <w:rPr>
          <w:rFonts w:ascii="宋体" w:hAnsi="宋体"/>
          <w:color w:val="000000" w:themeColor="text1"/>
          <w:sz w:val="24"/>
          <w:szCs w:val="24"/>
          <w:highlight w:val="none"/>
        </w:rPr>
        <w:t>2000元/次的违约金。（</w:t>
      </w:r>
      <w:r>
        <w:rPr>
          <w:rFonts w:hint="eastAsia" w:ascii="宋体" w:hAnsi="宋体"/>
          <w:color w:val="000000" w:themeColor="text1"/>
          <w:sz w:val="24"/>
          <w:szCs w:val="24"/>
          <w:highlight w:val="none"/>
        </w:rPr>
        <w:t>本条适用于本行机构集中度外包商）</w:t>
      </w:r>
    </w:p>
    <w:p>
      <w:pPr>
        <w:pStyle w:val="2"/>
        <w:ind w:firstLine="482"/>
        <w:jc w:val="center"/>
        <w:rPr>
          <w:rFonts w:ascii="宋体" w:hAnsi="宋体"/>
          <w:b w:val="0"/>
          <w:color w:val="000000" w:themeColor="text1"/>
          <w:sz w:val="24"/>
          <w:szCs w:val="24"/>
          <w:highlight w:val="none"/>
        </w:rPr>
      </w:pPr>
      <w:bookmarkStart w:id="153" w:name="_Toc428202503"/>
      <w:r>
        <w:rPr>
          <w:rFonts w:hint="eastAsia" w:ascii="宋体" w:hAnsi="宋体"/>
          <w:color w:val="000000" w:themeColor="text1"/>
          <w:sz w:val="24"/>
          <w:szCs w:val="24"/>
          <w:highlight w:val="none"/>
        </w:rPr>
        <w:t>第十九章争端解决机制</w:t>
      </w:r>
      <w:bookmarkEnd w:id="153"/>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本合同的成立、有效性、解释、履行、签署、修订和终止以及争议的解决均应适用中华人民共和国法律。</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基于本合同产生的或与本合同相关的任何争议，按本合同及其附件优先、《重庆银行</w:t>
      </w:r>
      <w:r>
        <w:rPr>
          <w:rFonts w:ascii="宋体" w:hAnsi="宋体"/>
          <w:color w:val="000000" w:themeColor="text1"/>
          <w:sz w:val="24"/>
          <w:szCs w:val="24"/>
          <w:highlight w:val="none"/>
        </w:rPr>
        <w:t>XXXXX》招标文件（招标编号：CQBANK-201X-YYYY）及其附件次之、乙方投标文件及其附件最后的优先顺序加以解决。以上文件对同一事项若有不同规定亦按上述优先顺序规定为准。</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因为本合同而发生的任何争议，都应由双方通过友好协商解决。协商应在一方向另一方送达关于协商的书面要求后立即开始。</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如果双方通过协商不能解决争议的，任何一方可将争议提交重庆仲裁委员会按照该会届时有效的仲裁规则进行仲裁。</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在任何争议期间和</w:t>
      </w:r>
      <w:r>
        <w:rPr>
          <w:rFonts w:ascii="宋体" w:hAnsi="宋体"/>
          <w:color w:val="000000" w:themeColor="text1"/>
          <w:sz w:val="24"/>
          <w:szCs w:val="24"/>
          <w:highlight w:val="none"/>
        </w:rPr>
        <w:t>/或对争议仲裁期间，除争议所直接涉及的条款外，任何一方有权按照本合同的条款行使其在本合同项下的权利，同时，应履行其在本合同项下的所有义务。</w:t>
      </w:r>
    </w:p>
    <w:p>
      <w:pPr>
        <w:pStyle w:val="2"/>
        <w:ind w:firstLine="482"/>
        <w:jc w:val="center"/>
        <w:rPr>
          <w:rFonts w:ascii="宋体" w:hAnsi="宋体"/>
          <w:b w:val="0"/>
          <w:color w:val="000000" w:themeColor="text1"/>
          <w:sz w:val="24"/>
          <w:szCs w:val="24"/>
          <w:highlight w:val="none"/>
        </w:rPr>
      </w:pPr>
      <w:bookmarkStart w:id="154" w:name="_Toc428202504"/>
      <w:r>
        <w:rPr>
          <w:rFonts w:hint="eastAsia" w:ascii="宋体" w:hAnsi="宋体"/>
          <w:color w:val="000000" w:themeColor="text1"/>
          <w:sz w:val="24"/>
          <w:szCs w:val="24"/>
          <w:highlight w:val="none"/>
        </w:rPr>
        <w:t>第二十章合同生效、变更、终止</w:t>
      </w:r>
      <w:bookmarkEnd w:id="154"/>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合同生效，本合同自双方法定代表人（授权代理人）签字并加盖公章之日起生效，自乙方的所有义务履行完毕之日起终止。</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对每一方的权利义务继受人和合法受让人均具有约束力；但是，未经另一方事先书面同意，任何一方均不得转让（无论是通过法律运作、证券或资产的销售、合并或其他方式）本合同的全部或部分。任何企图在违反本条规定情况下进行的转让均无效。</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任何一方未行使其于本合同项下的任何权利均不得构成或被视为该方对这些权利或其它权利的放弃或丧失。</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如果本合同中的任何条款或规定被认为非法或不可执行，则除这些条款和规定以外的其他条款的效力和可执行性不得因此而受到影响。</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本合同将保持其效力直到各方已完全履行本合同项下的所有义务并且本合同各方之间的所有付款和索赔已结清后终止。</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任何一方都有权利提出合同的变更和解除。一方要变更合同的，应该先向对方发出通知，然后进行协商，未经协商擅自变更合同的，该变更无效。</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生效后，除法律法规或本合同另有规定外，未经甲、乙双方协商一致，任何一方不得提前中止、终止或解除本合同。任何一方违反本规定的，应赔偿守约方因此所产生的实际损失，且守约方有权解除本合同。</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本合同所有附件是本合同不可分割的组成部分，与本合同具有同等法律效力。</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所有关于本合同条款的修改、补充、变更经双方代表以书面形式制成并签章后均为本合同不可分割的组成部分，与本合同具有同等法律效力。</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在执行合同过程中之联系须以书面形式制成，正式信息还需以传真、邮递快件等方式传达至对方。</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合同变更，合同的变更需经双方代表签字并加盖公章。合同一方提出变更，应提前</w:t>
      </w:r>
      <w:r>
        <w:rPr>
          <w:rFonts w:ascii="宋体" w:hAnsi="宋体"/>
          <w:color w:val="000000" w:themeColor="text1"/>
          <w:sz w:val="24"/>
          <w:szCs w:val="24"/>
          <w:highlight w:val="none"/>
        </w:rPr>
        <w:t>30日书面通知另一方，另一方应在7个工作日内予以书面答复，逾期不答复的视为同意变更。合同的变更需经双方代表签字盖章。</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合同终止，有下列情形之一的，本合同终止：</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1.本合同之双方债务已经按照约定履行完毕；</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2.合同解除；</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3.法律规定或甲乙双方约定终止的其他情形。</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合同终止后，双方应当遵循诚实信用原则，根据交易习惯继续履行通知、协助、保密义务。</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下列情形下，当事人可以解除合同，有过错一方应当赔偿对方因此而受到的损失：</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1.因不可抗力致使不能实现合同的；</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2.在履行期限届满之前，当事人一方明确表示或者以自己的行为表明不履行主要债务；</w:t>
      </w:r>
    </w:p>
    <w:p>
      <w:pPr>
        <w:ind w:firstLine="720" w:firstLineChars="300"/>
        <w:jc w:val="left"/>
        <w:rPr>
          <w:rFonts w:ascii="宋体" w:hAnsi="宋体"/>
          <w:color w:val="000000" w:themeColor="text1"/>
          <w:sz w:val="24"/>
          <w:szCs w:val="24"/>
          <w:highlight w:val="none"/>
        </w:rPr>
      </w:pPr>
      <w:r>
        <w:rPr>
          <w:rFonts w:ascii="宋体" w:hAnsi="宋体"/>
          <w:color w:val="000000" w:themeColor="text1"/>
          <w:sz w:val="24"/>
          <w:szCs w:val="24"/>
          <w:highlight w:val="none"/>
        </w:rPr>
        <w:t>3.当事人一方延迟履行主要债务，经催告后在7日内仍未履行；</w:t>
      </w:r>
    </w:p>
    <w:p>
      <w:pPr>
        <w:ind w:firstLine="840" w:firstLineChars="350"/>
        <w:jc w:val="left"/>
        <w:rPr>
          <w:rFonts w:ascii="宋体" w:hAnsi="宋体"/>
          <w:color w:val="000000" w:themeColor="text1"/>
          <w:sz w:val="24"/>
          <w:szCs w:val="24"/>
          <w:highlight w:val="none"/>
        </w:rPr>
      </w:pPr>
      <w:r>
        <w:rPr>
          <w:rFonts w:ascii="宋体" w:hAnsi="宋体"/>
          <w:color w:val="000000" w:themeColor="text1"/>
          <w:sz w:val="24"/>
          <w:szCs w:val="24"/>
          <w:highlight w:val="none"/>
        </w:rPr>
        <w:t>4.当事人一方延迟履行债务或者有其他违约行为致使不能实现合同目的的；</w:t>
      </w:r>
    </w:p>
    <w:p>
      <w:pPr>
        <w:ind w:firstLine="840" w:firstLineChars="350"/>
        <w:jc w:val="left"/>
        <w:rPr>
          <w:rFonts w:ascii="宋体" w:hAnsi="宋体"/>
          <w:color w:val="000000" w:themeColor="text1"/>
          <w:sz w:val="24"/>
          <w:szCs w:val="24"/>
          <w:highlight w:val="none"/>
        </w:rPr>
      </w:pPr>
      <w:r>
        <w:rPr>
          <w:rFonts w:ascii="宋体" w:hAnsi="宋体"/>
          <w:color w:val="000000" w:themeColor="text1"/>
          <w:sz w:val="24"/>
          <w:szCs w:val="24"/>
          <w:highlight w:val="none"/>
        </w:rPr>
        <w:t>5.法律规定其他情形。</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当事人一方依照本合同约定主张解除合同的，应当以书面形式通知对方。本合同自通知到达对方时解除。对方有异议的，按照本合同关于争议解决的约定处理。</w:t>
      </w:r>
    </w:p>
    <w:p>
      <w:pPr>
        <w:pStyle w:val="2"/>
        <w:ind w:firstLine="482"/>
        <w:jc w:val="center"/>
        <w:rPr>
          <w:rFonts w:ascii="宋体" w:hAnsi="宋体"/>
          <w:b w:val="0"/>
          <w:color w:val="000000" w:themeColor="text1"/>
          <w:sz w:val="24"/>
          <w:szCs w:val="24"/>
          <w:highlight w:val="none"/>
        </w:rPr>
      </w:pPr>
      <w:bookmarkStart w:id="155" w:name="_Toc428202505"/>
      <w:r>
        <w:rPr>
          <w:rFonts w:hint="eastAsia" w:ascii="宋体" w:hAnsi="宋体"/>
          <w:color w:val="000000" w:themeColor="text1"/>
          <w:sz w:val="24"/>
          <w:szCs w:val="24"/>
          <w:highlight w:val="none"/>
        </w:rPr>
        <w:t>第二十一章双方约定的其他事项</w:t>
      </w:r>
      <w:bookmarkEnd w:id="155"/>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乙方需按照银监机构要求提供相应的安全评估、风险评估及审计报告，并承诺报告的有效性和真实性。</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乙方应就服务水平执行情况进行定期报告，甲方将视服务水平进行对项目实施绩效管理。</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乙方应制定服务中断相关的应急处理预案，提供备份人员，乙方应配合甲方开展业务连续性管理计划以及应急演练。</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乙方公司应按照甲方要求签署公司保密协议，保密协议应作为本合同的重要组件，保密协议内容详见附件四：《</w:t>
      </w:r>
      <w:r>
        <w:rPr>
          <w:rFonts w:ascii="宋体" w:hAnsi="宋体"/>
          <w:color w:val="000000" w:themeColor="text1"/>
          <w:sz w:val="24"/>
          <w:szCs w:val="24"/>
          <w:highlight w:val="none"/>
        </w:rPr>
        <w:t>IT外包保密协议》。</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乙方在合同签订前</w:t>
      </w:r>
      <w:r>
        <w:rPr>
          <w:rFonts w:ascii="宋体" w:hAnsi="宋体"/>
          <w:color w:val="000000" w:themeColor="text1"/>
          <w:sz w:val="24"/>
          <w:szCs w:val="24"/>
          <w:highlight w:val="none"/>
        </w:rPr>
        <w:t>10日内向甲方提交履约保证金____________元整（大写：___________________元整），在乙方完成其合同义务并通过甲方组织的完工验收后30日内，甲方将把履约保证金无息退还给乙方，如有违约，则仅退回扣除违约金后的余额。交付产品质量达不到合同要求的，将依据《外包服务水平协议》，视情况扣减部分或全部履约保证金。</w:t>
      </w:r>
    </w:p>
    <w:p>
      <w:pPr>
        <w:pStyle w:val="2"/>
        <w:ind w:firstLine="482"/>
        <w:jc w:val="center"/>
        <w:rPr>
          <w:rFonts w:ascii="宋体" w:hAnsi="宋体"/>
          <w:b w:val="0"/>
          <w:color w:val="000000" w:themeColor="text1"/>
          <w:sz w:val="24"/>
          <w:szCs w:val="24"/>
          <w:highlight w:val="none"/>
        </w:rPr>
      </w:pPr>
      <w:bookmarkStart w:id="156" w:name="_Toc428202506"/>
      <w:r>
        <w:rPr>
          <w:rFonts w:hint="eastAsia" w:ascii="宋体" w:hAnsi="宋体"/>
          <w:color w:val="000000" w:themeColor="text1"/>
          <w:sz w:val="24"/>
          <w:szCs w:val="24"/>
          <w:highlight w:val="none"/>
        </w:rPr>
        <w:t>第二十二章附则</w:t>
      </w:r>
      <w:bookmarkEnd w:id="156"/>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本合同签约地为重庆。</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本合同正本一式伍份，甲方持有叁份，乙方持贰份，具有同等效力。</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本项目招投标文件（包括但不限于单一来源谈判文件等）为合同重要组成部分，本合同未涉及的按招投标文件执行。</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甲乙双方须提供的文件是本合同附件，所有附件是本合同必不可少的部分，并与本合同具有同等法律效力。</w:t>
      </w:r>
    </w:p>
    <w:p>
      <w:pPr>
        <w:pStyle w:val="285"/>
        <w:numPr>
          <w:ilvl w:val="0"/>
          <w:numId w:val="9"/>
        </w:numPr>
        <w:ind w:left="0" w:firstLine="601" w:firstLineChars="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本文附件包括以下组成部分：</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附件一：工作范围说明书</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附件二：外包服务水平协议</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附件三：现场技术支持人员清单</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附件四：</w:t>
      </w:r>
      <w:r>
        <w:rPr>
          <w:rFonts w:ascii="宋体" w:hAnsi="宋体"/>
          <w:color w:val="000000" w:themeColor="text1"/>
          <w:sz w:val="24"/>
          <w:szCs w:val="24"/>
          <w:highlight w:val="none"/>
        </w:rPr>
        <w:t>IT外包保密协议</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（以下无正文）</w:t>
      </w:r>
    </w:p>
    <w:p>
      <w:pPr>
        <w:ind w:firstLine="480" w:firstLineChars="200"/>
        <w:jc w:val="left"/>
        <w:rPr>
          <w:rFonts w:ascii="宋体" w:hAnsi="宋体"/>
          <w:color w:val="000000" w:themeColor="text1"/>
          <w:sz w:val="24"/>
          <w:szCs w:val="24"/>
          <w:highlight w:val="none"/>
        </w:rPr>
      </w:pPr>
    </w:p>
    <w:p>
      <w:pPr>
        <w:ind w:firstLine="480" w:firstLineChars="200"/>
        <w:jc w:val="left"/>
        <w:rPr>
          <w:rFonts w:ascii="宋体" w:hAnsi="宋体"/>
          <w:color w:val="000000" w:themeColor="text1"/>
          <w:sz w:val="24"/>
          <w:szCs w:val="24"/>
          <w:highlight w:val="none"/>
        </w:rPr>
      </w:pPr>
    </w:p>
    <w:p>
      <w:pPr>
        <w:ind w:firstLine="480" w:firstLineChars="200"/>
        <w:jc w:val="left"/>
        <w:rPr>
          <w:rFonts w:ascii="宋体" w:hAnsi="宋体"/>
          <w:color w:val="000000" w:themeColor="text1"/>
          <w:sz w:val="24"/>
          <w:szCs w:val="24"/>
          <w:highlight w:val="none"/>
        </w:rPr>
      </w:pPr>
      <w:r>
        <w:rPr>
          <w:rFonts w:ascii="Calibri" w:hAnsi="Calibri"/>
          <w:color w:val="000000" w:themeColor="text1"/>
          <w:sz w:val="24"/>
          <w:szCs w:val="24"/>
          <w:highlight w:val="none"/>
        </w:rPr>
        <w:pict>
          <v:shape id="_x0000_s1026" o:spid="_x0000_s1026" o:spt="202" type="#_x0000_t202" style="position:absolute;left:0pt;margin-left:259.6pt;margin-top:-0.75pt;height:178.5pt;width:165.95pt;z-index:251666432;mso-width-relative:margin;mso-height-relative:page;mso-width-percent:400;" stroked="f" coordsize="21600,21600" o:gfxdata="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IOzknY&#10;AAAACgEAAA8AAAAAAAAAAQAgAAAAIgAAAGRycy9kb3ducmV2LnhtbFBLAQIUABQAAAAIAIdO4kC2&#10;CPm4IAIAAAcEAAAOAAAAAAAAAAEAIAAAACcBAABkcnMvZTJvRG9jLnhtbFBLBQYAAAAABgAGAFkB&#10;AAC5BQAAAAA=&#10;">
            <v:path/>
            <v:fill focussize="0,0"/>
            <v:stroke on="f" joinstyle="miter"/>
            <v:imagedata o:title=""/>
            <o:lock v:ext="edit"/>
            <v:textbox>
              <w:txbxContent>
                <w:p>
                  <w:pPr>
                    <w:jc w:val="left"/>
                    <w:rPr>
                      <w:rFonts w:ascii="宋体" w:hAnsi="宋体"/>
                      <w:sz w:val="24"/>
                      <w:szCs w:val="24"/>
                    </w:rPr>
                  </w:pPr>
                  <w:r>
                    <w:rPr>
                      <w:rFonts w:hint="eastAsia" w:ascii="宋体" w:hAnsi="宋体"/>
                      <w:sz w:val="24"/>
                      <w:szCs w:val="24"/>
                    </w:rPr>
                    <w:t>乙方：</w:t>
                  </w:r>
                </w:p>
                <w:p>
                  <w:pPr>
                    <w:jc w:val="left"/>
                    <w:rPr>
                      <w:rFonts w:ascii="宋体" w:hAnsi="宋体"/>
                      <w:sz w:val="24"/>
                      <w:szCs w:val="24"/>
                    </w:rPr>
                  </w:pPr>
                  <w:r>
                    <w:rPr>
                      <w:rFonts w:hint="eastAsia" w:ascii="宋体" w:hAnsi="宋体"/>
                      <w:sz w:val="24"/>
                      <w:szCs w:val="24"/>
                    </w:rPr>
                    <w:t>法定代表人</w:t>
                  </w:r>
                </w:p>
                <w:p>
                  <w:pPr>
                    <w:jc w:val="left"/>
                    <w:rPr>
                      <w:rFonts w:ascii="宋体" w:hAnsi="宋体"/>
                      <w:sz w:val="24"/>
                      <w:szCs w:val="24"/>
                    </w:rPr>
                  </w:pPr>
                  <w:r>
                    <w:rPr>
                      <w:rFonts w:hint="eastAsia" w:ascii="宋体" w:hAnsi="宋体"/>
                      <w:sz w:val="24"/>
                      <w:szCs w:val="24"/>
                    </w:rPr>
                    <w:t>或委托代理人签字：</w:t>
                  </w:r>
                </w:p>
                <w:p>
                  <w:pPr>
                    <w:jc w:val="left"/>
                    <w:rPr>
                      <w:rFonts w:ascii="宋体" w:hAnsi="宋体"/>
                      <w:sz w:val="24"/>
                      <w:szCs w:val="24"/>
                    </w:rPr>
                  </w:pPr>
                  <w:r>
                    <w:rPr>
                      <w:rFonts w:hint="eastAsia" w:ascii="宋体" w:hAnsi="宋体"/>
                      <w:sz w:val="24"/>
                      <w:szCs w:val="24"/>
                    </w:rPr>
                    <w:t>日期：</w:t>
                  </w:r>
                </w:p>
                <w:p>
                  <w:pPr>
                    <w:jc w:val="left"/>
                    <w:rPr>
                      <w:rFonts w:ascii="宋体" w:hAnsi="宋体"/>
                      <w:sz w:val="24"/>
                      <w:szCs w:val="24"/>
                    </w:rPr>
                  </w:pPr>
                  <w:r>
                    <w:rPr>
                      <w:rFonts w:hint="eastAsia" w:ascii="宋体" w:hAnsi="宋体"/>
                      <w:sz w:val="24"/>
                      <w:szCs w:val="24"/>
                    </w:rPr>
                    <w:t>（盖章）</w:t>
                  </w:r>
                </w:p>
                <w:p>
                  <w:pPr>
                    <w:rPr>
                      <w:rFonts w:ascii="Calibri" w:hAnsi="Calibri"/>
                    </w:rPr>
                  </w:pPr>
                </w:p>
              </w:txbxContent>
            </v:textbox>
          </v:shape>
        </w:pict>
      </w:r>
      <w:r>
        <w:rPr>
          <w:rFonts w:hint="eastAsia" w:ascii="宋体" w:hAnsi="宋体"/>
          <w:color w:val="000000" w:themeColor="text1"/>
          <w:sz w:val="24"/>
          <w:szCs w:val="24"/>
          <w:highlight w:val="none"/>
        </w:rPr>
        <w:t>甲方：</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法定代表人</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或委托代理人签字：</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日期：</w:t>
      </w:r>
    </w:p>
    <w:p>
      <w:pPr>
        <w:ind w:firstLine="480" w:firstLineChars="200"/>
        <w:jc w:val="left"/>
        <w:rPr>
          <w:rFonts w:ascii="宋体" w:hAnsi="宋体"/>
          <w:color w:val="000000" w:themeColor="text1"/>
          <w:sz w:val="24"/>
          <w:szCs w:val="24"/>
          <w:highlight w:val="none"/>
        </w:rPr>
      </w:pPr>
      <w:r>
        <w:rPr>
          <w:rFonts w:hint="eastAsia" w:ascii="宋体" w:hAnsi="宋体"/>
          <w:color w:val="000000" w:themeColor="text1"/>
          <w:sz w:val="24"/>
          <w:szCs w:val="24"/>
          <w:highlight w:val="none"/>
        </w:rPr>
        <w:t>（盖章）</w:t>
      </w:r>
    </w:p>
    <w:p>
      <w:pPr>
        <w:spacing w:afterLines="50" w:line="400" w:lineRule="exact"/>
        <w:jc w:val="left"/>
        <w:rPr>
          <w:rFonts w:ascii="宋体" w:hAnsi="宋体"/>
          <w:b/>
          <w:color w:val="000000" w:themeColor="text1"/>
          <w:sz w:val="28"/>
          <w:szCs w:val="28"/>
          <w:highlight w:val="none"/>
        </w:rPr>
      </w:pPr>
    </w:p>
    <w:p>
      <w:pPr>
        <w:spacing w:before="120" w:after="120"/>
        <w:rPr>
          <w:color w:val="000000" w:themeColor="text1"/>
          <w:highlight w:val="none"/>
        </w:rPr>
      </w:pPr>
      <w:r>
        <w:rPr>
          <w:rFonts w:hint="eastAsia" w:ascii="仿宋_GB2312" w:hAnsi="宋体" w:eastAsia="仿宋_GB2312"/>
          <w:color w:val="000000" w:themeColor="text1"/>
          <w:sz w:val="28"/>
          <w:szCs w:val="28"/>
          <w:highlight w:val="none"/>
        </w:rPr>
        <w:t>附件一：</w:t>
      </w:r>
    </w:p>
    <w:p>
      <w:pPr>
        <w:spacing w:before="120" w:after="120"/>
        <w:rPr>
          <w:color w:val="000000" w:themeColor="text1"/>
          <w:highlight w:val="none"/>
        </w:rPr>
      </w:pPr>
    </w:p>
    <w:p>
      <w:pPr>
        <w:tabs>
          <w:tab w:val="left" w:pos="3375"/>
        </w:tabs>
        <w:spacing w:before="120" w:after="120"/>
        <w:rPr>
          <w:rFonts w:ascii="黑体" w:eastAsia="黑体"/>
          <w:b/>
          <w:color w:val="000000" w:themeColor="text1"/>
          <w:sz w:val="44"/>
          <w:szCs w:val="44"/>
          <w:highlight w:val="none"/>
        </w:rPr>
      </w:pPr>
      <w:r>
        <w:rPr>
          <w:rFonts w:ascii="黑体" w:eastAsia="黑体"/>
          <w:b/>
          <w:color w:val="000000" w:themeColor="text1"/>
          <w:sz w:val="44"/>
          <w:szCs w:val="44"/>
          <w:highlight w:val="none"/>
        </w:rPr>
        <w:tab/>
      </w:r>
    </w:p>
    <w:p>
      <w:pPr>
        <w:tabs>
          <w:tab w:val="left" w:pos="3375"/>
        </w:tabs>
        <w:spacing w:before="120" w:after="120"/>
        <w:jc w:val="center"/>
        <w:rPr>
          <w:rFonts w:ascii="黑体" w:eastAsia="黑体"/>
          <w:b/>
          <w:color w:val="000000" w:themeColor="text1"/>
          <w:sz w:val="44"/>
          <w:szCs w:val="44"/>
          <w:highlight w:val="none"/>
        </w:rPr>
      </w:pPr>
      <w:r>
        <w:rPr>
          <w:rFonts w:hint="eastAsia" w:ascii="黑体" w:eastAsia="黑体"/>
          <w:b/>
          <w:color w:val="000000" w:themeColor="text1"/>
          <w:sz w:val="44"/>
          <w:szCs w:val="44"/>
          <w:highlight w:val="none"/>
        </w:rPr>
        <w:t>重庆</w:t>
      </w:r>
      <w:r>
        <w:rPr>
          <w:rFonts w:ascii="黑体" w:eastAsia="黑体"/>
          <w:b/>
          <w:color w:val="000000" w:themeColor="text1"/>
          <w:sz w:val="44"/>
          <w:szCs w:val="44"/>
          <w:highlight w:val="none"/>
        </w:rPr>
        <w:t>银行</w:t>
      </w:r>
    </w:p>
    <w:p>
      <w:pPr>
        <w:spacing w:before="120" w:after="120"/>
        <w:jc w:val="center"/>
        <w:rPr>
          <w:rFonts w:ascii="华文中宋" w:hAnsi="华文中宋" w:eastAsia="华文中宋"/>
          <w:b/>
          <w:color w:val="000000" w:themeColor="text1"/>
          <w:sz w:val="44"/>
          <w:szCs w:val="44"/>
          <w:highlight w:val="none"/>
        </w:rPr>
      </w:pPr>
      <w:r>
        <w:rPr>
          <w:rFonts w:hint="eastAsia" w:ascii="华文中宋" w:hAnsi="华文中宋" w:eastAsia="华文中宋"/>
          <w:b/>
          <w:color w:val="000000" w:themeColor="text1"/>
          <w:sz w:val="44"/>
          <w:szCs w:val="44"/>
          <w:highlight w:val="none"/>
        </w:rPr>
        <w:t>XX项目工作范围说明书</w:t>
      </w:r>
    </w:p>
    <w:p>
      <w:pPr>
        <w:spacing w:before="120" w:after="120"/>
        <w:rPr>
          <w:color w:val="000000" w:themeColor="text1"/>
          <w:highlight w:val="none"/>
        </w:rPr>
      </w:pPr>
    </w:p>
    <w:p>
      <w:pPr>
        <w:spacing w:before="120" w:after="120"/>
        <w:rPr>
          <w:color w:val="000000" w:themeColor="text1"/>
          <w:highlight w:val="none"/>
        </w:rPr>
      </w:pPr>
    </w:p>
    <w:p>
      <w:pPr>
        <w:spacing w:before="120" w:after="120"/>
        <w:rPr>
          <w:color w:val="000000" w:themeColor="text1"/>
          <w:highlight w:val="none"/>
        </w:rPr>
      </w:pPr>
    </w:p>
    <w:p>
      <w:pPr>
        <w:spacing w:before="120" w:after="120"/>
        <w:rPr>
          <w:color w:val="000000" w:themeColor="text1"/>
          <w:highlight w:val="none"/>
        </w:rPr>
      </w:pPr>
    </w:p>
    <w:p>
      <w:pPr>
        <w:spacing w:before="120" w:after="120"/>
        <w:rPr>
          <w:color w:val="000000" w:themeColor="text1"/>
          <w:highlight w:val="none"/>
        </w:rPr>
      </w:pPr>
    </w:p>
    <w:p>
      <w:pPr>
        <w:spacing w:before="120" w:after="120"/>
        <w:jc w:val="center"/>
        <w:rPr>
          <w:color w:val="000000" w:themeColor="text1"/>
          <w:highlight w:val="none"/>
        </w:rPr>
      </w:pPr>
    </w:p>
    <w:p>
      <w:pPr>
        <w:spacing w:before="120" w:after="120"/>
        <w:rPr>
          <w:color w:val="000000" w:themeColor="text1"/>
          <w:highlight w:val="none"/>
        </w:rPr>
      </w:pPr>
    </w:p>
    <w:p>
      <w:pPr>
        <w:spacing w:before="120" w:after="120"/>
        <w:rPr>
          <w:color w:val="000000" w:themeColor="text1"/>
          <w:highlight w:val="none"/>
        </w:rPr>
      </w:pPr>
    </w:p>
    <w:p>
      <w:pPr>
        <w:spacing w:before="120" w:after="120"/>
        <w:jc w:val="center"/>
        <w:rPr>
          <w:rFonts w:ascii="华文中宋" w:hAnsi="华文中宋" w:eastAsia="华文中宋"/>
          <w:b/>
          <w:color w:val="000000" w:themeColor="text1"/>
          <w:sz w:val="28"/>
          <w:szCs w:val="28"/>
          <w:highlight w:val="none"/>
        </w:rPr>
      </w:pPr>
      <w:r>
        <w:rPr>
          <w:rFonts w:hint="eastAsia" w:ascii="华文中宋" w:hAnsi="华文中宋" w:eastAsia="华文中宋"/>
          <w:b/>
          <w:color w:val="000000" w:themeColor="text1"/>
          <w:sz w:val="28"/>
          <w:szCs w:val="28"/>
          <w:highlight w:val="none"/>
        </w:rPr>
        <w:t>重庆银行</w:t>
      </w:r>
    </w:p>
    <w:p>
      <w:pPr>
        <w:spacing w:before="120" w:after="120"/>
        <w:jc w:val="center"/>
        <w:rPr>
          <w:rFonts w:ascii="华文中宋" w:hAnsi="华文中宋" w:eastAsia="华文中宋"/>
          <w:b/>
          <w:color w:val="000000" w:themeColor="text1"/>
          <w:sz w:val="28"/>
          <w:szCs w:val="28"/>
          <w:highlight w:val="none"/>
        </w:rPr>
      </w:pPr>
      <w:r>
        <w:rPr>
          <w:rFonts w:hint="eastAsia" w:ascii="华文中宋" w:hAnsi="华文中宋" w:eastAsia="华文中宋"/>
          <w:b/>
          <w:color w:val="000000" w:themeColor="text1"/>
          <w:sz w:val="28"/>
          <w:szCs w:val="28"/>
          <w:highlight w:val="none"/>
        </w:rPr>
        <w:t>X</w:t>
      </w:r>
      <w:r>
        <w:rPr>
          <w:rFonts w:ascii="华文中宋" w:hAnsi="华文中宋" w:eastAsia="华文中宋"/>
          <w:b/>
          <w:color w:val="000000" w:themeColor="text1"/>
          <w:sz w:val="28"/>
          <w:szCs w:val="28"/>
          <w:highlight w:val="none"/>
        </w:rPr>
        <w:t>XXXX</w:t>
      </w:r>
      <w:r>
        <w:rPr>
          <w:rFonts w:hint="eastAsia" w:ascii="华文中宋" w:hAnsi="华文中宋" w:eastAsia="华文中宋"/>
          <w:b/>
          <w:color w:val="000000" w:themeColor="text1"/>
          <w:sz w:val="28"/>
          <w:szCs w:val="28"/>
          <w:highlight w:val="none"/>
        </w:rPr>
        <w:t>公司</w:t>
      </w:r>
    </w:p>
    <w:p>
      <w:pPr>
        <w:spacing w:before="120" w:after="120"/>
        <w:jc w:val="center"/>
        <w:rPr>
          <w:rFonts w:ascii="华文中宋" w:hAnsi="华文中宋" w:eastAsia="华文中宋"/>
          <w:b/>
          <w:color w:val="000000" w:themeColor="text1"/>
          <w:sz w:val="28"/>
          <w:szCs w:val="28"/>
          <w:highlight w:val="none"/>
        </w:rPr>
      </w:pPr>
      <w:r>
        <w:rPr>
          <w:rFonts w:ascii="华文中宋" w:hAnsi="华文中宋" w:eastAsia="华文中宋"/>
          <w:b/>
          <w:color w:val="000000" w:themeColor="text1"/>
          <w:sz w:val="28"/>
          <w:szCs w:val="28"/>
          <w:highlight w:val="none"/>
        </w:rPr>
        <w:t>XXX</w:t>
      </w:r>
      <w:r>
        <w:rPr>
          <w:rFonts w:hint="eastAsia" w:ascii="华文中宋" w:hAnsi="华文中宋" w:eastAsia="华文中宋"/>
          <w:b/>
          <w:color w:val="000000" w:themeColor="text1"/>
          <w:sz w:val="28"/>
          <w:szCs w:val="28"/>
          <w:highlight w:val="none"/>
        </w:rPr>
        <w:t>年</w:t>
      </w:r>
      <w:r>
        <w:rPr>
          <w:rFonts w:ascii="华文中宋" w:hAnsi="华文中宋" w:eastAsia="华文中宋"/>
          <w:b/>
          <w:color w:val="000000" w:themeColor="text1"/>
          <w:sz w:val="28"/>
          <w:szCs w:val="28"/>
          <w:highlight w:val="none"/>
        </w:rPr>
        <w:t>XXX</w:t>
      </w:r>
      <w:r>
        <w:rPr>
          <w:rFonts w:hint="eastAsia" w:ascii="华文中宋" w:hAnsi="华文中宋" w:eastAsia="华文中宋"/>
          <w:b/>
          <w:color w:val="000000" w:themeColor="text1"/>
          <w:sz w:val="28"/>
          <w:szCs w:val="28"/>
          <w:highlight w:val="none"/>
        </w:rPr>
        <w:t>月</w:t>
      </w:r>
    </w:p>
    <w:p>
      <w:pPr>
        <w:spacing w:before="120" w:after="120"/>
        <w:jc w:val="center"/>
        <w:rPr>
          <w:rFonts w:ascii="华文中宋" w:hAnsi="华文中宋" w:eastAsia="华文中宋"/>
          <w:b/>
          <w:color w:val="000000" w:themeColor="text1"/>
          <w:sz w:val="28"/>
          <w:szCs w:val="28"/>
          <w:highlight w:val="none"/>
        </w:rPr>
      </w:pPr>
    </w:p>
    <w:p>
      <w:pPr>
        <w:spacing w:before="120" w:after="120"/>
        <w:jc w:val="center"/>
        <w:rPr>
          <w:rFonts w:ascii="华文中宋" w:hAnsi="华文中宋" w:eastAsia="华文中宋"/>
          <w:b/>
          <w:color w:val="000000" w:themeColor="text1"/>
          <w:sz w:val="28"/>
          <w:szCs w:val="28"/>
          <w:highlight w:val="none"/>
        </w:rPr>
      </w:pPr>
    </w:p>
    <w:p>
      <w:pPr>
        <w:spacing w:before="120" w:after="120"/>
        <w:jc w:val="center"/>
        <w:rPr>
          <w:rFonts w:ascii="华文中宋" w:hAnsi="华文中宋" w:eastAsia="华文中宋"/>
          <w:b/>
          <w:color w:val="000000" w:themeColor="text1"/>
          <w:sz w:val="28"/>
          <w:szCs w:val="28"/>
          <w:highlight w:val="none"/>
        </w:rPr>
      </w:pPr>
    </w:p>
    <w:p>
      <w:pPr>
        <w:spacing w:before="120" w:after="120"/>
        <w:jc w:val="center"/>
        <w:rPr>
          <w:rFonts w:ascii="华文中宋" w:hAnsi="华文中宋" w:eastAsia="华文中宋"/>
          <w:b/>
          <w:color w:val="000000" w:themeColor="text1"/>
          <w:sz w:val="28"/>
          <w:szCs w:val="28"/>
          <w:highlight w:val="none"/>
        </w:rPr>
      </w:pPr>
    </w:p>
    <w:p>
      <w:pPr>
        <w:spacing w:before="120" w:after="120"/>
        <w:jc w:val="center"/>
        <w:rPr>
          <w:rFonts w:ascii="华文中宋" w:hAnsi="华文中宋" w:eastAsia="华文中宋"/>
          <w:b/>
          <w:color w:val="000000" w:themeColor="text1"/>
          <w:sz w:val="28"/>
          <w:szCs w:val="28"/>
          <w:highlight w:val="none"/>
        </w:rPr>
      </w:pPr>
    </w:p>
    <w:p>
      <w:pPr>
        <w:spacing w:before="120" w:after="120"/>
        <w:jc w:val="center"/>
        <w:rPr>
          <w:rFonts w:ascii="华文中宋" w:hAnsi="华文中宋" w:eastAsia="华文中宋"/>
          <w:b/>
          <w:color w:val="000000" w:themeColor="text1"/>
          <w:sz w:val="28"/>
          <w:szCs w:val="28"/>
          <w:highlight w:val="none"/>
        </w:rPr>
      </w:pPr>
    </w:p>
    <w:p>
      <w:pPr>
        <w:spacing w:before="120" w:after="120"/>
        <w:rPr>
          <w:rFonts w:ascii="楷体" w:hAnsi="楷体" w:eastAsia="楷体"/>
          <w:b/>
          <w:color w:val="000000" w:themeColor="text1"/>
          <w:sz w:val="36"/>
          <w:szCs w:val="36"/>
          <w:highlight w:val="none"/>
        </w:rPr>
      </w:pPr>
      <w:r>
        <w:rPr>
          <w:rFonts w:hint="eastAsia" w:ascii="楷体" w:hAnsi="楷体" w:eastAsia="楷体"/>
          <w:b/>
          <w:color w:val="000000" w:themeColor="text1"/>
          <w:sz w:val="36"/>
          <w:szCs w:val="36"/>
          <w:highlight w:val="none"/>
        </w:rPr>
        <w:t>文档信息</w:t>
      </w:r>
    </w:p>
    <w:tbl>
      <w:tblPr>
        <w:tblStyle w:val="5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5"/>
        <w:gridCol w:w="179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pacing w:before="120" w:after="120"/>
              <w:rPr>
                <w:rFonts w:ascii="楷体" w:hAnsi="楷体" w:eastAsia="楷体"/>
                <w:b/>
                <w:color w:val="000000" w:themeColor="text1"/>
                <w:sz w:val="24"/>
                <w:highlight w:val="none"/>
              </w:rPr>
            </w:pPr>
            <w:r>
              <w:rPr>
                <w:rFonts w:hint="eastAsia" w:ascii="楷体" w:hAnsi="楷体" w:eastAsia="楷体"/>
                <w:b/>
                <w:color w:val="000000" w:themeColor="text1"/>
                <w:sz w:val="24"/>
                <w:highlight w:val="none"/>
              </w:rPr>
              <w:t>项目名称：</w:t>
            </w:r>
          </w:p>
        </w:tc>
        <w:tc>
          <w:tcPr>
            <w:tcW w:w="2455" w:type="dxa"/>
            <w:shd w:val="clear" w:color="auto" w:fill="auto"/>
          </w:tcPr>
          <w:p>
            <w:pPr>
              <w:spacing w:before="120" w:after="120"/>
              <w:rPr>
                <w:rFonts w:ascii="楷体" w:hAnsi="楷体" w:eastAsia="楷体"/>
                <w:color w:val="000000" w:themeColor="text1"/>
                <w:sz w:val="32"/>
                <w:szCs w:val="32"/>
                <w:highlight w:val="none"/>
              </w:rPr>
            </w:pPr>
          </w:p>
        </w:tc>
        <w:tc>
          <w:tcPr>
            <w:tcW w:w="1798" w:type="dxa"/>
            <w:shd w:val="clear" w:color="auto" w:fill="auto"/>
          </w:tcPr>
          <w:p>
            <w:pPr>
              <w:spacing w:before="120" w:after="120"/>
              <w:rPr>
                <w:rFonts w:ascii="楷体" w:hAnsi="楷体" w:eastAsia="楷体"/>
                <w:color w:val="000000" w:themeColor="text1"/>
                <w:sz w:val="32"/>
                <w:szCs w:val="32"/>
                <w:highlight w:val="none"/>
              </w:rPr>
            </w:pPr>
            <w:r>
              <w:rPr>
                <w:rFonts w:hint="eastAsia" w:ascii="楷体" w:hAnsi="楷体" w:eastAsia="楷体"/>
                <w:b/>
                <w:color w:val="000000" w:themeColor="text1"/>
                <w:sz w:val="24"/>
                <w:highlight w:val="none"/>
              </w:rPr>
              <w:t>项目管理阶段：</w:t>
            </w:r>
          </w:p>
        </w:tc>
        <w:tc>
          <w:tcPr>
            <w:tcW w:w="2466" w:type="dxa"/>
            <w:shd w:val="clear" w:color="auto" w:fill="auto"/>
          </w:tcPr>
          <w:p>
            <w:pPr>
              <w:spacing w:before="120" w:after="120"/>
              <w:rPr>
                <w:rFonts w:ascii="楷体" w:hAnsi="楷体" w:eastAsia="楷体"/>
                <w:color w:val="000000" w:themeColor="text1"/>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pacing w:before="120" w:after="120"/>
              <w:rPr>
                <w:rFonts w:ascii="楷体" w:hAnsi="楷体" w:eastAsia="楷体"/>
                <w:b/>
                <w:color w:val="000000" w:themeColor="text1"/>
                <w:sz w:val="24"/>
                <w:highlight w:val="none"/>
              </w:rPr>
            </w:pPr>
            <w:r>
              <w:rPr>
                <w:rFonts w:hint="eastAsia" w:ascii="楷体" w:hAnsi="楷体" w:eastAsia="楷体"/>
                <w:b/>
                <w:color w:val="000000" w:themeColor="text1"/>
                <w:sz w:val="24"/>
                <w:highlight w:val="none"/>
              </w:rPr>
              <w:t xml:space="preserve">项目经理：                                </w:t>
            </w:r>
          </w:p>
        </w:tc>
        <w:tc>
          <w:tcPr>
            <w:tcW w:w="2455" w:type="dxa"/>
            <w:shd w:val="clear" w:color="auto" w:fill="auto"/>
          </w:tcPr>
          <w:p>
            <w:pPr>
              <w:spacing w:before="120" w:after="120"/>
              <w:rPr>
                <w:rFonts w:ascii="楷体" w:hAnsi="楷体" w:eastAsia="楷体"/>
                <w:color w:val="000000" w:themeColor="text1"/>
                <w:sz w:val="32"/>
                <w:szCs w:val="32"/>
                <w:highlight w:val="none"/>
              </w:rPr>
            </w:pPr>
          </w:p>
        </w:tc>
        <w:tc>
          <w:tcPr>
            <w:tcW w:w="1798" w:type="dxa"/>
            <w:shd w:val="clear" w:color="auto" w:fill="auto"/>
          </w:tcPr>
          <w:p>
            <w:pPr>
              <w:spacing w:before="120" w:after="120"/>
              <w:rPr>
                <w:rFonts w:ascii="楷体" w:hAnsi="楷体" w:eastAsia="楷体"/>
                <w:color w:val="000000" w:themeColor="text1"/>
                <w:sz w:val="32"/>
                <w:szCs w:val="32"/>
                <w:highlight w:val="none"/>
              </w:rPr>
            </w:pPr>
            <w:r>
              <w:rPr>
                <w:rFonts w:hint="eastAsia" w:ascii="楷体" w:hAnsi="楷体" w:eastAsia="楷体"/>
                <w:b/>
                <w:color w:val="000000" w:themeColor="text1"/>
                <w:sz w:val="24"/>
                <w:highlight w:val="none"/>
              </w:rPr>
              <w:t>文档版本编号：</w:t>
            </w:r>
          </w:p>
        </w:tc>
        <w:tc>
          <w:tcPr>
            <w:tcW w:w="2466" w:type="dxa"/>
            <w:shd w:val="clear" w:color="auto" w:fill="auto"/>
          </w:tcPr>
          <w:p>
            <w:pPr>
              <w:spacing w:before="120" w:after="120"/>
              <w:rPr>
                <w:rFonts w:ascii="楷体" w:hAnsi="楷体" w:eastAsia="楷体"/>
                <w:color w:val="000000" w:themeColor="text1"/>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pacing w:before="120" w:after="120"/>
              <w:rPr>
                <w:rFonts w:ascii="楷体" w:hAnsi="楷体" w:eastAsia="楷体"/>
                <w:b/>
                <w:color w:val="000000" w:themeColor="text1"/>
                <w:sz w:val="24"/>
                <w:highlight w:val="none"/>
              </w:rPr>
            </w:pPr>
            <w:r>
              <w:rPr>
                <w:rFonts w:hint="eastAsia" w:ascii="楷体" w:hAnsi="楷体" w:eastAsia="楷体"/>
                <w:b/>
                <w:color w:val="000000" w:themeColor="text1"/>
                <w:sz w:val="24"/>
                <w:highlight w:val="none"/>
              </w:rPr>
              <w:t xml:space="preserve">质量复审方法：                        </w:t>
            </w:r>
          </w:p>
        </w:tc>
        <w:tc>
          <w:tcPr>
            <w:tcW w:w="2455" w:type="dxa"/>
            <w:shd w:val="clear" w:color="auto" w:fill="auto"/>
          </w:tcPr>
          <w:p>
            <w:pPr>
              <w:spacing w:before="120" w:after="120"/>
              <w:rPr>
                <w:rFonts w:ascii="楷体" w:hAnsi="楷体" w:eastAsia="楷体"/>
                <w:color w:val="000000" w:themeColor="text1"/>
                <w:sz w:val="32"/>
                <w:szCs w:val="32"/>
                <w:highlight w:val="none"/>
              </w:rPr>
            </w:pPr>
          </w:p>
        </w:tc>
        <w:tc>
          <w:tcPr>
            <w:tcW w:w="1798" w:type="dxa"/>
            <w:shd w:val="clear" w:color="auto" w:fill="auto"/>
          </w:tcPr>
          <w:p>
            <w:pPr>
              <w:spacing w:before="120" w:after="120"/>
              <w:rPr>
                <w:rFonts w:ascii="楷体" w:hAnsi="楷体" w:eastAsia="楷体"/>
                <w:color w:val="000000" w:themeColor="text1"/>
                <w:sz w:val="32"/>
                <w:szCs w:val="32"/>
                <w:highlight w:val="none"/>
              </w:rPr>
            </w:pPr>
            <w:r>
              <w:rPr>
                <w:rFonts w:hint="eastAsia" w:ascii="楷体" w:hAnsi="楷体" w:eastAsia="楷体"/>
                <w:b/>
                <w:color w:val="000000" w:themeColor="text1"/>
                <w:sz w:val="24"/>
                <w:highlight w:val="none"/>
              </w:rPr>
              <w:t>文档版本日期：</w:t>
            </w:r>
          </w:p>
        </w:tc>
        <w:tc>
          <w:tcPr>
            <w:tcW w:w="2466" w:type="dxa"/>
            <w:shd w:val="clear" w:color="auto" w:fill="auto"/>
          </w:tcPr>
          <w:p>
            <w:pPr>
              <w:spacing w:before="120" w:after="120"/>
              <w:rPr>
                <w:rFonts w:ascii="楷体" w:hAnsi="楷体" w:eastAsia="楷体"/>
                <w:color w:val="000000" w:themeColor="text1"/>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pacing w:before="120" w:after="120"/>
              <w:rPr>
                <w:rFonts w:ascii="楷体" w:hAnsi="楷体" w:eastAsia="楷体"/>
                <w:b/>
                <w:color w:val="000000" w:themeColor="text1"/>
                <w:sz w:val="24"/>
                <w:highlight w:val="none"/>
              </w:rPr>
            </w:pPr>
            <w:r>
              <w:rPr>
                <w:rFonts w:hint="eastAsia" w:ascii="楷体" w:hAnsi="楷体" w:eastAsia="楷体"/>
                <w:b/>
                <w:color w:val="000000" w:themeColor="text1"/>
                <w:sz w:val="24"/>
                <w:highlight w:val="none"/>
              </w:rPr>
              <w:t xml:space="preserve">起草人：                                  </w:t>
            </w:r>
          </w:p>
        </w:tc>
        <w:tc>
          <w:tcPr>
            <w:tcW w:w="2455" w:type="dxa"/>
            <w:shd w:val="clear" w:color="auto" w:fill="auto"/>
          </w:tcPr>
          <w:p>
            <w:pPr>
              <w:spacing w:before="120" w:after="120"/>
              <w:rPr>
                <w:rFonts w:ascii="楷体" w:hAnsi="楷体" w:eastAsia="楷体"/>
                <w:color w:val="000000" w:themeColor="text1"/>
                <w:sz w:val="32"/>
                <w:szCs w:val="32"/>
                <w:highlight w:val="none"/>
              </w:rPr>
            </w:pPr>
          </w:p>
        </w:tc>
        <w:tc>
          <w:tcPr>
            <w:tcW w:w="1798" w:type="dxa"/>
            <w:shd w:val="clear" w:color="auto" w:fill="auto"/>
          </w:tcPr>
          <w:p>
            <w:pPr>
              <w:spacing w:before="120" w:after="120"/>
              <w:rPr>
                <w:rFonts w:ascii="楷体" w:hAnsi="楷体" w:eastAsia="楷体"/>
                <w:color w:val="000000" w:themeColor="text1"/>
                <w:sz w:val="32"/>
                <w:szCs w:val="32"/>
                <w:highlight w:val="none"/>
              </w:rPr>
            </w:pPr>
            <w:r>
              <w:rPr>
                <w:rFonts w:hint="eastAsia" w:ascii="楷体" w:hAnsi="楷体" w:eastAsia="楷体"/>
                <w:b/>
                <w:color w:val="000000" w:themeColor="text1"/>
                <w:sz w:val="24"/>
                <w:highlight w:val="none"/>
              </w:rPr>
              <w:t>起草日期：</w:t>
            </w:r>
          </w:p>
        </w:tc>
        <w:tc>
          <w:tcPr>
            <w:tcW w:w="2466" w:type="dxa"/>
            <w:shd w:val="clear" w:color="auto" w:fill="auto"/>
          </w:tcPr>
          <w:p>
            <w:pPr>
              <w:spacing w:before="120" w:after="120"/>
              <w:rPr>
                <w:rFonts w:ascii="楷体" w:hAnsi="楷体" w:eastAsia="楷体"/>
                <w:color w:val="000000" w:themeColor="text1"/>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pacing w:before="120" w:after="120"/>
              <w:rPr>
                <w:rFonts w:eastAsia="PMingLiU"/>
                <w:color w:val="000000" w:themeColor="text1"/>
                <w:highlight w:val="none"/>
              </w:rPr>
            </w:pPr>
            <w:r>
              <w:rPr>
                <w:rFonts w:hint="eastAsia" w:ascii="楷体" w:hAnsi="楷体" w:eastAsia="楷体"/>
                <w:b/>
                <w:color w:val="000000" w:themeColor="text1"/>
                <w:sz w:val="24"/>
                <w:highlight w:val="none"/>
              </w:rPr>
              <w:t xml:space="preserve">复审人： </w:t>
            </w:r>
          </w:p>
        </w:tc>
        <w:tc>
          <w:tcPr>
            <w:tcW w:w="2455" w:type="dxa"/>
            <w:shd w:val="clear" w:color="auto" w:fill="auto"/>
          </w:tcPr>
          <w:p>
            <w:pPr>
              <w:spacing w:before="120" w:after="120"/>
              <w:rPr>
                <w:rFonts w:ascii="楷体" w:hAnsi="楷体" w:eastAsia="楷体"/>
                <w:color w:val="000000" w:themeColor="text1"/>
                <w:sz w:val="32"/>
                <w:szCs w:val="32"/>
                <w:highlight w:val="none"/>
              </w:rPr>
            </w:pPr>
          </w:p>
        </w:tc>
        <w:tc>
          <w:tcPr>
            <w:tcW w:w="1798" w:type="dxa"/>
            <w:shd w:val="clear" w:color="auto" w:fill="auto"/>
          </w:tcPr>
          <w:p>
            <w:pPr>
              <w:spacing w:before="120" w:after="120"/>
              <w:rPr>
                <w:rFonts w:ascii="楷体" w:hAnsi="楷体" w:eastAsia="楷体"/>
                <w:color w:val="000000" w:themeColor="text1"/>
                <w:sz w:val="32"/>
                <w:szCs w:val="32"/>
                <w:highlight w:val="none"/>
              </w:rPr>
            </w:pPr>
            <w:r>
              <w:rPr>
                <w:rFonts w:hint="eastAsia" w:ascii="楷体" w:hAnsi="楷体" w:eastAsia="楷体"/>
                <w:b/>
                <w:color w:val="000000" w:themeColor="text1"/>
                <w:sz w:val="24"/>
                <w:highlight w:val="none"/>
              </w:rPr>
              <w:t>复审日期：</w:t>
            </w:r>
          </w:p>
        </w:tc>
        <w:tc>
          <w:tcPr>
            <w:tcW w:w="2466" w:type="dxa"/>
            <w:shd w:val="clear" w:color="auto" w:fill="auto"/>
          </w:tcPr>
          <w:p>
            <w:pPr>
              <w:spacing w:before="120" w:after="120"/>
              <w:rPr>
                <w:rFonts w:ascii="楷体" w:hAnsi="楷体" w:eastAsia="楷体"/>
                <w:color w:val="000000" w:themeColor="text1"/>
                <w:sz w:val="32"/>
                <w:szCs w:val="32"/>
                <w:highlight w:val="none"/>
              </w:rPr>
            </w:pPr>
          </w:p>
        </w:tc>
      </w:tr>
    </w:tbl>
    <w:p>
      <w:pPr>
        <w:spacing w:before="120" w:after="120"/>
        <w:rPr>
          <w:rFonts w:ascii="华文中宋" w:hAnsi="华文中宋" w:eastAsia="华文中宋"/>
          <w:b/>
          <w:color w:val="000000" w:themeColor="text1"/>
          <w:sz w:val="28"/>
          <w:szCs w:val="28"/>
          <w:highlight w:val="none"/>
        </w:rPr>
        <w:sectPr>
          <w:headerReference r:id="rId13" w:type="first"/>
          <w:footerReference r:id="rId15" w:type="first"/>
          <w:headerReference r:id="rId11" w:type="default"/>
          <w:headerReference r:id="rId12" w:type="even"/>
          <w:footerReference r:id="rId14" w:type="even"/>
          <w:pgSz w:w="11906" w:h="16838"/>
          <w:pgMar w:top="1440" w:right="1797" w:bottom="1440" w:left="1797" w:header="851" w:footer="992" w:gutter="0"/>
          <w:cols w:space="425" w:num="1"/>
          <w:titlePg/>
          <w:docGrid w:linePitch="312" w:charSpace="0"/>
        </w:sectPr>
      </w:pPr>
    </w:p>
    <w:p>
      <w:pPr>
        <w:spacing w:before="120" w:after="120"/>
        <w:jc w:val="center"/>
        <w:rPr>
          <w:b/>
          <w:color w:val="000000" w:themeColor="text1"/>
          <w:sz w:val="24"/>
          <w:highlight w:val="none"/>
        </w:rPr>
      </w:pPr>
      <w:r>
        <w:rPr>
          <w:rFonts w:hint="eastAsia"/>
          <w:b/>
          <w:color w:val="000000" w:themeColor="text1"/>
          <w:sz w:val="24"/>
          <w:highlight w:val="none"/>
        </w:rPr>
        <w:t>目录</w:t>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TOC \o "1-3" \h \z \u </w:instrText>
      </w:r>
      <w:r>
        <w:rPr>
          <w:color w:val="000000" w:themeColor="text1"/>
          <w:highlight w:val="none"/>
        </w:rPr>
        <w:fldChar w:fldCharType="separate"/>
      </w:r>
      <w:r>
        <w:rPr>
          <w:color w:val="000000" w:themeColor="text1"/>
          <w:highlight w:val="none"/>
        </w:rPr>
        <w:fldChar w:fldCharType="begin"/>
      </w:r>
      <w:r>
        <w:rPr>
          <w:color w:val="000000" w:themeColor="text1"/>
          <w:highlight w:val="none"/>
        </w:rPr>
        <w:instrText xml:space="preserve"> HYPERLINK \l "_Toc428437250" </w:instrText>
      </w:r>
      <w:r>
        <w:rPr>
          <w:color w:val="000000" w:themeColor="text1"/>
          <w:highlight w:val="none"/>
        </w:rPr>
        <w:fldChar w:fldCharType="separate"/>
      </w:r>
      <w:r>
        <w:rPr>
          <w:rStyle w:val="53"/>
          <w:rFonts w:hint="eastAsia" w:ascii="Arial" w:hAnsi="Arial"/>
          <w:color w:val="000000" w:themeColor="text1"/>
          <w:highlight w:val="none"/>
        </w:rPr>
        <w:t>第1章</w:t>
      </w:r>
      <w:r>
        <w:rPr>
          <w:rStyle w:val="53"/>
          <w:rFonts w:hint="eastAsia"/>
          <w:color w:val="000000" w:themeColor="text1"/>
          <w:highlight w:val="none"/>
        </w:rPr>
        <w:t>前言</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_Toc428437250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"_Toc428437251" </w:instrText>
      </w:r>
      <w:r>
        <w:rPr>
          <w:color w:val="000000" w:themeColor="text1"/>
          <w:highlight w:val="none"/>
        </w:rPr>
        <w:fldChar w:fldCharType="separate"/>
      </w:r>
      <w:r>
        <w:rPr>
          <w:rStyle w:val="53"/>
          <w:rFonts w:ascii="Arial Unicode MS" w:hAnsi="Arial Unicode MS" w:eastAsia="黑体"/>
          <w:color w:val="000000" w:themeColor="text1"/>
          <w:highlight w:val="none"/>
        </w:rPr>
        <w:t>1.1</w:t>
      </w:r>
      <w:r>
        <w:rPr>
          <w:rStyle w:val="53"/>
          <w:rFonts w:hint="eastAsia"/>
          <w:color w:val="000000" w:themeColor="text1"/>
          <w:highlight w:val="none"/>
        </w:rPr>
        <w:t>目的</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_Toc428437251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"_Toc428437252" </w:instrText>
      </w:r>
      <w:r>
        <w:rPr>
          <w:color w:val="000000" w:themeColor="text1"/>
          <w:highlight w:val="none"/>
        </w:rPr>
        <w:fldChar w:fldCharType="separate"/>
      </w:r>
      <w:r>
        <w:rPr>
          <w:rStyle w:val="53"/>
          <w:rFonts w:ascii="Arial Unicode MS" w:hAnsi="Arial Unicode MS" w:eastAsia="黑体"/>
          <w:color w:val="000000" w:themeColor="text1"/>
          <w:highlight w:val="none"/>
        </w:rPr>
        <w:t>1.2</w:t>
      </w:r>
      <w:r>
        <w:rPr>
          <w:rStyle w:val="53"/>
          <w:rFonts w:hint="eastAsia"/>
          <w:color w:val="000000" w:themeColor="text1"/>
          <w:highlight w:val="none"/>
        </w:rPr>
        <w:t>术语</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_Toc428437252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"_Toc428437253" </w:instrText>
      </w:r>
      <w:r>
        <w:rPr>
          <w:color w:val="000000" w:themeColor="text1"/>
          <w:highlight w:val="none"/>
        </w:rPr>
        <w:fldChar w:fldCharType="separate"/>
      </w:r>
      <w:r>
        <w:rPr>
          <w:rStyle w:val="53"/>
          <w:rFonts w:ascii="Arial Unicode MS" w:hAnsi="Arial Unicode MS" w:eastAsia="黑体"/>
          <w:color w:val="000000" w:themeColor="text1"/>
          <w:highlight w:val="none"/>
        </w:rPr>
        <w:t>1.3</w:t>
      </w:r>
      <w:r>
        <w:rPr>
          <w:rStyle w:val="53"/>
          <w:rFonts w:hint="eastAsia"/>
          <w:color w:val="000000" w:themeColor="text1"/>
          <w:highlight w:val="none"/>
        </w:rPr>
        <w:t>参考文档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_Toc428437253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"_Toc428437254" </w:instrText>
      </w:r>
      <w:r>
        <w:rPr>
          <w:color w:val="000000" w:themeColor="text1"/>
          <w:highlight w:val="none"/>
        </w:rPr>
        <w:fldChar w:fldCharType="separate"/>
      </w:r>
      <w:r>
        <w:rPr>
          <w:rStyle w:val="53"/>
          <w:rFonts w:hint="eastAsia" w:ascii="Arial" w:hAnsi="Arial"/>
          <w:color w:val="000000" w:themeColor="text1"/>
          <w:highlight w:val="none"/>
        </w:rPr>
        <w:t>第2章</w:t>
      </w:r>
      <w:r>
        <w:rPr>
          <w:rStyle w:val="53"/>
          <w:rFonts w:hint="eastAsia"/>
          <w:color w:val="000000" w:themeColor="text1"/>
          <w:highlight w:val="none"/>
        </w:rPr>
        <w:t>项目概述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_Toc428437254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"_Toc428437255" </w:instrText>
      </w:r>
      <w:r>
        <w:rPr>
          <w:color w:val="000000" w:themeColor="text1"/>
          <w:highlight w:val="none"/>
        </w:rPr>
        <w:fldChar w:fldCharType="separate"/>
      </w:r>
      <w:r>
        <w:rPr>
          <w:rStyle w:val="53"/>
          <w:rFonts w:ascii="Arial Unicode MS" w:hAnsi="Arial Unicode MS" w:eastAsia="黑体"/>
          <w:color w:val="000000" w:themeColor="text1"/>
          <w:highlight w:val="none"/>
        </w:rPr>
        <w:t>2.1</w:t>
      </w:r>
      <w:r>
        <w:rPr>
          <w:rStyle w:val="53"/>
          <w:rFonts w:hint="eastAsia"/>
          <w:color w:val="000000" w:themeColor="text1"/>
          <w:highlight w:val="none"/>
        </w:rPr>
        <w:t>项目背景</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_Toc428437255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"_Toc428437256" </w:instrText>
      </w:r>
      <w:r>
        <w:rPr>
          <w:color w:val="000000" w:themeColor="text1"/>
          <w:highlight w:val="none"/>
        </w:rPr>
        <w:fldChar w:fldCharType="separate"/>
      </w:r>
      <w:r>
        <w:rPr>
          <w:rStyle w:val="53"/>
          <w:rFonts w:ascii="Arial Unicode MS" w:hAnsi="Arial Unicode MS" w:eastAsia="黑体"/>
          <w:color w:val="000000" w:themeColor="text1"/>
          <w:highlight w:val="none"/>
        </w:rPr>
        <w:t>2.2</w:t>
      </w:r>
      <w:r>
        <w:rPr>
          <w:rStyle w:val="53"/>
          <w:rFonts w:hint="eastAsia"/>
          <w:color w:val="000000" w:themeColor="text1"/>
          <w:highlight w:val="none"/>
        </w:rPr>
        <w:t>项目目标</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_Toc428437256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"_Toc428437257" </w:instrText>
      </w:r>
      <w:r>
        <w:rPr>
          <w:color w:val="000000" w:themeColor="text1"/>
          <w:highlight w:val="none"/>
        </w:rPr>
        <w:fldChar w:fldCharType="separate"/>
      </w:r>
      <w:r>
        <w:rPr>
          <w:rStyle w:val="53"/>
          <w:rFonts w:ascii="Arial Unicode MS" w:hAnsi="Arial Unicode MS" w:eastAsia="黑体"/>
          <w:color w:val="000000" w:themeColor="text1"/>
          <w:highlight w:val="none"/>
        </w:rPr>
        <w:t>2.3</w:t>
      </w:r>
      <w:r>
        <w:rPr>
          <w:rStyle w:val="53"/>
          <w:rFonts w:hint="eastAsia"/>
          <w:color w:val="000000" w:themeColor="text1"/>
          <w:highlight w:val="none"/>
        </w:rPr>
        <w:t>项目范围</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_Toc428437257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"_Toc428437258" </w:instrText>
      </w:r>
      <w:r>
        <w:rPr>
          <w:color w:val="000000" w:themeColor="text1"/>
          <w:highlight w:val="none"/>
        </w:rPr>
        <w:fldChar w:fldCharType="separate"/>
      </w:r>
      <w:r>
        <w:rPr>
          <w:rStyle w:val="53"/>
          <w:rFonts w:ascii="Arial Unicode MS" w:hAnsi="Arial Unicode MS" w:eastAsia="黑体"/>
          <w:color w:val="000000" w:themeColor="text1"/>
          <w:highlight w:val="none"/>
        </w:rPr>
        <w:t>2.4</w:t>
      </w:r>
      <w:r>
        <w:rPr>
          <w:rStyle w:val="53"/>
          <w:rFonts w:hint="eastAsia"/>
          <w:color w:val="000000" w:themeColor="text1"/>
          <w:highlight w:val="none"/>
        </w:rPr>
        <w:t>项目实施条件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_Toc428437258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"_Toc428437259" </w:instrText>
      </w:r>
      <w:r>
        <w:rPr>
          <w:color w:val="000000" w:themeColor="text1"/>
          <w:highlight w:val="none"/>
        </w:rPr>
        <w:fldChar w:fldCharType="separate"/>
      </w:r>
      <w:r>
        <w:rPr>
          <w:rStyle w:val="53"/>
          <w:rFonts w:ascii="Arial Unicode MS" w:hAnsi="Arial Unicode MS"/>
          <w:color w:val="000000" w:themeColor="text1"/>
          <w:highlight w:val="none"/>
        </w:rPr>
        <w:t>2.4.1</w:t>
      </w:r>
      <w:r>
        <w:rPr>
          <w:rStyle w:val="53"/>
          <w:rFonts w:hint="eastAsia"/>
          <w:color w:val="000000" w:themeColor="text1"/>
          <w:highlight w:val="none"/>
        </w:rPr>
        <w:t>场地环境</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_Toc428437259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"_Toc428437260" </w:instrText>
      </w:r>
      <w:r>
        <w:rPr>
          <w:color w:val="000000" w:themeColor="text1"/>
          <w:highlight w:val="none"/>
        </w:rPr>
        <w:fldChar w:fldCharType="separate"/>
      </w:r>
      <w:r>
        <w:rPr>
          <w:rStyle w:val="53"/>
          <w:rFonts w:ascii="Arial Unicode MS" w:hAnsi="Arial Unicode MS"/>
          <w:color w:val="000000" w:themeColor="text1"/>
          <w:highlight w:val="none"/>
        </w:rPr>
        <w:t>2.4.2</w:t>
      </w:r>
      <w:r>
        <w:rPr>
          <w:rStyle w:val="53"/>
          <w:rFonts w:hint="eastAsia"/>
          <w:color w:val="000000" w:themeColor="text1"/>
          <w:highlight w:val="none"/>
        </w:rPr>
        <w:t>人员配合</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_Toc428437260 \h </w:instrText>
      </w:r>
      <w:r>
        <w:rPr>
          <w:color w:val="000000" w:themeColor="text1"/>
          <w:highlight w:val="none"/>
        </w:rPr>
        <w:fldChar w:fldCharType="separate"/>
      </w:r>
      <w:r>
        <w:rPr>
          <w:color w:val="000000" w:themeColor="text1"/>
          <w:highlight w:val="none"/>
        </w:rPr>
        <w:t>45</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"_Toc428437261" </w:instrText>
      </w:r>
      <w:r>
        <w:rPr>
          <w:color w:val="000000" w:themeColor="text1"/>
          <w:highlight w:val="none"/>
        </w:rPr>
        <w:fldChar w:fldCharType="separate"/>
      </w:r>
      <w:r>
        <w:rPr>
          <w:rStyle w:val="53"/>
          <w:rFonts w:ascii="Arial Unicode MS" w:hAnsi="Arial Unicode MS"/>
          <w:color w:val="000000" w:themeColor="text1"/>
          <w:highlight w:val="none"/>
        </w:rPr>
        <w:t>2.4.3</w:t>
      </w:r>
      <w:r>
        <w:rPr>
          <w:rStyle w:val="53"/>
          <w:rFonts w:hint="eastAsia"/>
          <w:color w:val="000000" w:themeColor="text1"/>
          <w:highlight w:val="none"/>
        </w:rPr>
        <w:t>其他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_Toc428437261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"_Toc428437262" </w:instrText>
      </w:r>
      <w:r>
        <w:rPr>
          <w:color w:val="000000" w:themeColor="text1"/>
          <w:highlight w:val="none"/>
        </w:rPr>
        <w:fldChar w:fldCharType="separate"/>
      </w:r>
      <w:r>
        <w:rPr>
          <w:rStyle w:val="53"/>
          <w:rFonts w:hint="eastAsia" w:ascii="Arial" w:hAnsi="Arial"/>
          <w:color w:val="000000" w:themeColor="text1"/>
          <w:highlight w:val="none"/>
        </w:rPr>
        <w:t>第3章</w:t>
      </w:r>
      <w:r>
        <w:rPr>
          <w:rStyle w:val="53"/>
          <w:rFonts w:hint="eastAsia"/>
          <w:color w:val="000000" w:themeColor="text1"/>
          <w:highlight w:val="none"/>
        </w:rPr>
        <w:t>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_Toc428437262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"_Toc428437263" </w:instrText>
      </w:r>
      <w:r>
        <w:rPr>
          <w:color w:val="000000" w:themeColor="text1"/>
          <w:highlight w:val="none"/>
        </w:rPr>
        <w:fldChar w:fldCharType="separate"/>
      </w:r>
      <w:r>
        <w:rPr>
          <w:rStyle w:val="53"/>
          <w:rFonts w:ascii="Arial Unicode MS" w:hAnsi="Arial Unicode MS" w:eastAsia="黑体"/>
          <w:color w:val="000000" w:themeColor="text1"/>
          <w:highlight w:val="none"/>
        </w:rPr>
        <w:t>3.1</w:t>
      </w:r>
      <w:r>
        <w:rPr>
          <w:rStyle w:val="53"/>
          <w:color w:val="000000" w:themeColor="text1"/>
          <w:highlight w:val="none"/>
        </w:rPr>
        <w:t xml:space="preserve"> XXXX</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_Toc428437263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"_Toc428437264" </w:instrText>
      </w:r>
      <w:r>
        <w:rPr>
          <w:color w:val="000000" w:themeColor="text1"/>
          <w:highlight w:val="none"/>
        </w:rPr>
        <w:fldChar w:fldCharType="separate"/>
      </w:r>
      <w:r>
        <w:rPr>
          <w:rStyle w:val="53"/>
          <w:rFonts w:hint="eastAsia" w:ascii="Arial" w:hAnsi="Arial"/>
          <w:color w:val="000000" w:themeColor="text1"/>
          <w:highlight w:val="none"/>
        </w:rPr>
        <w:t>第4章</w:t>
      </w:r>
      <w:r>
        <w:rPr>
          <w:rStyle w:val="53"/>
          <w:rFonts w:hint="eastAsia"/>
          <w:color w:val="000000" w:themeColor="text1"/>
          <w:highlight w:val="none"/>
        </w:rPr>
        <w:t>项目阶段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_Toc428437264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"_Toc428437265" </w:instrText>
      </w:r>
      <w:r>
        <w:rPr>
          <w:color w:val="000000" w:themeColor="text1"/>
          <w:highlight w:val="none"/>
        </w:rPr>
        <w:fldChar w:fldCharType="separate"/>
      </w:r>
      <w:r>
        <w:rPr>
          <w:rStyle w:val="53"/>
          <w:rFonts w:ascii="Arial Unicode MS" w:hAnsi="Arial Unicode MS" w:eastAsia="黑体"/>
          <w:color w:val="000000" w:themeColor="text1"/>
          <w:highlight w:val="none"/>
        </w:rPr>
        <w:t>4.1</w:t>
      </w:r>
      <w:r>
        <w:rPr>
          <w:rStyle w:val="53"/>
          <w:rFonts w:hint="eastAsia"/>
          <w:color w:val="000000" w:themeColor="text1"/>
          <w:highlight w:val="none"/>
        </w:rPr>
        <w:t>项目启动阶段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_Toc428437265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"_Toc428437266" </w:instrText>
      </w:r>
      <w:r>
        <w:rPr>
          <w:color w:val="000000" w:themeColor="text1"/>
          <w:highlight w:val="none"/>
        </w:rPr>
        <w:fldChar w:fldCharType="separate"/>
      </w:r>
      <w:r>
        <w:rPr>
          <w:rStyle w:val="53"/>
          <w:rFonts w:ascii="Arial Unicode MS" w:hAnsi="Arial Unicode MS"/>
          <w:color w:val="000000" w:themeColor="text1"/>
          <w:highlight w:val="none"/>
        </w:rPr>
        <w:t>4.1.1</w:t>
      </w:r>
      <w:r>
        <w:rPr>
          <w:rStyle w:val="53"/>
          <w:rFonts w:hint="eastAsia"/>
          <w:color w:val="000000" w:themeColor="text1"/>
          <w:highlight w:val="none"/>
        </w:rPr>
        <w:t>工作描述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_Toc428437266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"_Toc428437267" </w:instrText>
      </w:r>
      <w:r>
        <w:rPr>
          <w:color w:val="000000" w:themeColor="text1"/>
          <w:highlight w:val="none"/>
        </w:rPr>
        <w:fldChar w:fldCharType="separate"/>
      </w:r>
      <w:r>
        <w:rPr>
          <w:rStyle w:val="53"/>
          <w:rFonts w:ascii="Arial Unicode MS" w:hAnsi="Arial Unicode MS"/>
          <w:color w:val="000000" w:themeColor="text1"/>
          <w:highlight w:val="none"/>
        </w:rPr>
        <w:t>4.1.2</w:t>
      </w:r>
      <w:r>
        <w:rPr>
          <w:rStyle w:val="53"/>
          <w:rFonts w:hint="eastAsia"/>
          <w:color w:val="000000" w:themeColor="text1"/>
          <w:highlight w:val="none"/>
        </w:rPr>
        <w:t>乙方的职责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_Toc428437267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"_Toc428437268" </w:instrText>
      </w:r>
      <w:r>
        <w:rPr>
          <w:color w:val="000000" w:themeColor="text1"/>
          <w:highlight w:val="none"/>
        </w:rPr>
        <w:fldChar w:fldCharType="separate"/>
      </w:r>
      <w:r>
        <w:rPr>
          <w:rStyle w:val="53"/>
          <w:rFonts w:ascii="Arial Unicode MS" w:hAnsi="Arial Unicode MS"/>
          <w:color w:val="000000" w:themeColor="text1"/>
          <w:highlight w:val="none"/>
        </w:rPr>
        <w:t>4.1.3</w:t>
      </w:r>
      <w:r>
        <w:rPr>
          <w:rStyle w:val="53"/>
          <w:rFonts w:hint="eastAsia"/>
          <w:color w:val="000000" w:themeColor="text1"/>
          <w:highlight w:val="none"/>
        </w:rPr>
        <w:t>甲方的职责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_Toc428437268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"_Toc428437269" </w:instrText>
      </w:r>
      <w:r>
        <w:rPr>
          <w:color w:val="000000" w:themeColor="text1"/>
          <w:highlight w:val="none"/>
        </w:rPr>
        <w:fldChar w:fldCharType="separate"/>
      </w:r>
      <w:r>
        <w:rPr>
          <w:rStyle w:val="53"/>
          <w:rFonts w:ascii="Arial Unicode MS" w:hAnsi="Arial Unicode MS"/>
          <w:color w:val="000000" w:themeColor="text1"/>
          <w:highlight w:val="none"/>
        </w:rPr>
        <w:t>4.1.4</w:t>
      </w:r>
      <w:r>
        <w:rPr>
          <w:rStyle w:val="53"/>
          <w:rFonts w:hint="eastAsia"/>
          <w:color w:val="000000" w:themeColor="text1"/>
          <w:highlight w:val="none"/>
        </w:rPr>
        <w:t>工作交付物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_Toc428437269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"_Toc428437270" </w:instrText>
      </w:r>
      <w:r>
        <w:rPr>
          <w:color w:val="000000" w:themeColor="text1"/>
          <w:highlight w:val="none"/>
        </w:rPr>
        <w:fldChar w:fldCharType="separate"/>
      </w:r>
      <w:r>
        <w:rPr>
          <w:rStyle w:val="53"/>
          <w:rFonts w:ascii="Arial Unicode MS" w:hAnsi="Arial Unicode MS" w:eastAsia="黑体"/>
          <w:color w:val="000000" w:themeColor="text1"/>
          <w:highlight w:val="none"/>
        </w:rPr>
        <w:t>4.2</w:t>
      </w:r>
      <w:r>
        <w:rPr>
          <w:rStyle w:val="53"/>
          <w:rFonts w:hint="eastAsia"/>
          <w:color w:val="000000" w:themeColor="text1"/>
          <w:highlight w:val="none"/>
        </w:rPr>
        <w:t>项目计划阶段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_Toc428437270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"_Toc428437271" </w:instrText>
      </w:r>
      <w:r>
        <w:rPr>
          <w:color w:val="000000" w:themeColor="text1"/>
          <w:highlight w:val="none"/>
        </w:rPr>
        <w:fldChar w:fldCharType="separate"/>
      </w:r>
      <w:r>
        <w:rPr>
          <w:rStyle w:val="53"/>
          <w:rFonts w:ascii="Arial Unicode MS" w:hAnsi="Arial Unicode MS"/>
          <w:color w:val="000000" w:themeColor="text1"/>
          <w:highlight w:val="none"/>
        </w:rPr>
        <w:t>4.2.1</w:t>
      </w:r>
      <w:r>
        <w:rPr>
          <w:rStyle w:val="53"/>
          <w:rFonts w:hint="eastAsia"/>
          <w:color w:val="000000" w:themeColor="text1"/>
          <w:highlight w:val="none"/>
        </w:rPr>
        <w:t>工作描述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_Toc428437271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"_Toc428437272" </w:instrText>
      </w:r>
      <w:r>
        <w:rPr>
          <w:color w:val="000000" w:themeColor="text1"/>
          <w:highlight w:val="none"/>
        </w:rPr>
        <w:fldChar w:fldCharType="separate"/>
      </w:r>
      <w:r>
        <w:rPr>
          <w:rStyle w:val="53"/>
          <w:rFonts w:ascii="Arial Unicode MS" w:hAnsi="Arial Unicode MS"/>
          <w:color w:val="000000" w:themeColor="text1"/>
          <w:highlight w:val="none"/>
        </w:rPr>
        <w:t>4.2.2</w:t>
      </w:r>
      <w:r>
        <w:rPr>
          <w:rStyle w:val="53"/>
          <w:rFonts w:hint="eastAsia"/>
          <w:color w:val="000000" w:themeColor="text1"/>
          <w:highlight w:val="none"/>
        </w:rPr>
        <w:t>乙方的职责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_Toc428437272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"_Toc428437273" </w:instrText>
      </w:r>
      <w:r>
        <w:rPr>
          <w:color w:val="000000" w:themeColor="text1"/>
          <w:highlight w:val="none"/>
        </w:rPr>
        <w:fldChar w:fldCharType="separate"/>
      </w:r>
      <w:r>
        <w:rPr>
          <w:rStyle w:val="53"/>
          <w:rFonts w:ascii="Arial Unicode MS" w:hAnsi="Arial Unicode MS"/>
          <w:color w:val="000000" w:themeColor="text1"/>
          <w:highlight w:val="none"/>
        </w:rPr>
        <w:t>4.2.3</w:t>
      </w:r>
      <w:r>
        <w:rPr>
          <w:rStyle w:val="53"/>
          <w:rFonts w:hint="eastAsia"/>
          <w:color w:val="000000" w:themeColor="text1"/>
          <w:highlight w:val="none"/>
        </w:rPr>
        <w:t>甲方的职责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_Toc428437273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"_Toc428437274" </w:instrText>
      </w:r>
      <w:r>
        <w:rPr>
          <w:color w:val="000000" w:themeColor="text1"/>
          <w:highlight w:val="none"/>
        </w:rPr>
        <w:fldChar w:fldCharType="separate"/>
      </w:r>
      <w:r>
        <w:rPr>
          <w:rStyle w:val="53"/>
          <w:rFonts w:ascii="Arial Unicode MS" w:hAnsi="Arial Unicode MS"/>
          <w:color w:val="000000" w:themeColor="text1"/>
          <w:highlight w:val="none"/>
        </w:rPr>
        <w:t>4.2.4</w:t>
      </w:r>
      <w:r>
        <w:rPr>
          <w:rStyle w:val="53"/>
          <w:rFonts w:hint="eastAsia"/>
          <w:color w:val="000000" w:themeColor="text1"/>
          <w:highlight w:val="none"/>
        </w:rPr>
        <w:t>工作交付物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_Toc428437274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"_Toc428437275" </w:instrText>
      </w:r>
      <w:r>
        <w:rPr>
          <w:color w:val="000000" w:themeColor="text1"/>
          <w:highlight w:val="none"/>
        </w:rPr>
        <w:fldChar w:fldCharType="separate"/>
      </w:r>
      <w:r>
        <w:rPr>
          <w:rStyle w:val="53"/>
          <w:rFonts w:ascii="Arial Unicode MS" w:hAnsi="Arial Unicode MS" w:eastAsia="黑体"/>
          <w:color w:val="000000" w:themeColor="text1"/>
          <w:highlight w:val="none"/>
        </w:rPr>
        <w:t>4.3</w:t>
      </w:r>
      <w:r>
        <w:rPr>
          <w:rStyle w:val="53"/>
          <w:rFonts w:hint="eastAsia"/>
          <w:color w:val="000000" w:themeColor="text1"/>
          <w:highlight w:val="none"/>
        </w:rPr>
        <w:t>项目实现阶段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_Toc428437275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"_Toc428437276" </w:instrText>
      </w:r>
      <w:r>
        <w:rPr>
          <w:color w:val="000000" w:themeColor="text1"/>
          <w:highlight w:val="none"/>
        </w:rPr>
        <w:fldChar w:fldCharType="separate"/>
      </w:r>
      <w:r>
        <w:rPr>
          <w:rStyle w:val="53"/>
          <w:rFonts w:ascii="Arial Unicode MS" w:hAnsi="Arial Unicode MS"/>
          <w:color w:val="000000" w:themeColor="text1"/>
          <w:highlight w:val="none"/>
        </w:rPr>
        <w:t>4.3.1</w:t>
      </w:r>
      <w:r>
        <w:rPr>
          <w:rStyle w:val="53"/>
          <w:rFonts w:hint="eastAsia"/>
          <w:color w:val="000000" w:themeColor="text1"/>
          <w:highlight w:val="none"/>
        </w:rPr>
        <w:t>工作描述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_Toc428437276 \h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"_Toc428437277" </w:instrText>
      </w:r>
      <w:r>
        <w:rPr>
          <w:color w:val="000000" w:themeColor="text1"/>
          <w:highlight w:val="none"/>
        </w:rPr>
        <w:fldChar w:fldCharType="separate"/>
      </w:r>
      <w:r>
        <w:rPr>
          <w:rStyle w:val="53"/>
          <w:rFonts w:ascii="Arial Unicode MS" w:hAnsi="Arial Unicode MS"/>
          <w:color w:val="000000" w:themeColor="text1"/>
          <w:highlight w:val="none"/>
        </w:rPr>
        <w:t>4.3.2</w:t>
      </w:r>
      <w:r>
        <w:rPr>
          <w:rStyle w:val="53"/>
          <w:rFonts w:hint="eastAsia"/>
          <w:color w:val="000000" w:themeColor="text1"/>
          <w:highlight w:val="none"/>
        </w:rPr>
        <w:t>乙方的职责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_Toc428437277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"_Toc428437278" </w:instrText>
      </w:r>
      <w:r>
        <w:rPr>
          <w:color w:val="000000" w:themeColor="text1"/>
          <w:highlight w:val="none"/>
        </w:rPr>
        <w:fldChar w:fldCharType="separate"/>
      </w:r>
      <w:r>
        <w:rPr>
          <w:rStyle w:val="53"/>
          <w:rFonts w:ascii="Arial Unicode MS" w:hAnsi="Arial Unicode MS"/>
          <w:color w:val="000000" w:themeColor="text1"/>
          <w:highlight w:val="none"/>
        </w:rPr>
        <w:t>4.3.3</w:t>
      </w:r>
      <w:r>
        <w:rPr>
          <w:rStyle w:val="53"/>
          <w:rFonts w:hint="eastAsia"/>
          <w:color w:val="000000" w:themeColor="text1"/>
          <w:highlight w:val="none"/>
        </w:rPr>
        <w:t>甲方的职责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_Toc428437278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"_Toc428437279" </w:instrText>
      </w:r>
      <w:r>
        <w:rPr>
          <w:color w:val="000000" w:themeColor="text1"/>
          <w:highlight w:val="none"/>
        </w:rPr>
        <w:fldChar w:fldCharType="separate"/>
      </w:r>
      <w:r>
        <w:rPr>
          <w:rStyle w:val="53"/>
          <w:rFonts w:ascii="Arial Unicode MS" w:hAnsi="Arial Unicode MS"/>
          <w:color w:val="000000" w:themeColor="text1"/>
          <w:highlight w:val="none"/>
        </w:rPr>
        <w:t>4.3.4</w:t>
      </w:r>
      <w:r>
        <w:rPr>
          <w:rStyle w:val="53"/>
          <w:rFonts w:hint="eastAsia"/>
          <w:color w:val="000000" w:themeColor="text1"/>
          <w:highlight w:val="none"/>
        </w:rPr>
        <w:t>工作交付物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_Toc428437279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"_Toc428437280" </w:instrText>
      </w:r>
      <w:r>
        <w:rPr>
          <w:color w:val="000000" w:themeColor="text1"/>
          <w:highlight w:val="none"/>
        </w:rPr>
        <w:fldChar w:fldCharType="separate"/>
      </w:r>
      <w:r>
        <w:rPr>
          <w:rStyle w:val="53"/>
          <w:rFonts w:ascii="Arial Unicode MS" w:hAnsi="Arial Unicode MS" w:eastAsia="黑体"/>
          <w:color w:val="000000" w:themeColor="text1"/>
          <w:highlight w:val="none"/>
        </w:rPr>
        <w:t>4.4</w:t>
      </w:r>
      <w:r>
        <w:rPr>
          <w:rStyle w:val="53"/>
          <w:rFonts w:hint="eastAsia"/>
          <w:color w:val="000000" w:themeColor="text1"/>
          <w:highlight w:val="none"/>
        </w:rPr>
        <w:t>项目验收阶段</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_Toc428437280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"_Toc428437281" </w:instrText>
      </w:r>
      <w:r>
        <w:rPr>
          <w:color w:val="000000" w:themeColor="text1"/>
          <w:highlight w:val="none"/>
        </w:rPr>
        <w:fldChar w:fldCharType="separate"/>
      </w:r>
      <w:r>
        <w:rPr>
          <w:rStyle w:val="53"/>
          <w:rFonts w:ascii="Arial Unicode MS" w:hAnsi="Arial Unicode MS"/>
          <w:color w:val="000000" w:themeColor="text1"/>
          <w:highlight w:val="none"/>
        </w:rPr>
        <w:t>4.4.1</w:t>
      </w:r>
      <w:r>
        <w:rPr>
          <w:rStyle w:val="53"/>
          <w:rFonts w:hint="eastAsia"/>
          <w:color w:val="000000" w:themeColor="text1"/>
          <w:highlight w:val="none"/>
        </w:rPr>
        <w:t>工作描述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_Toc428437281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"_Toc428437282" </w:instrText>
      </w:r>
      <w:r>
        <w:rPr>
          <w:color w:val="000000" w:themeColor="text1"/>
          <w:highlight w:val="none"/>
        </w:rPr>
        <w:fldChar w:fldCharType="separate"/>
      </w:r>
      <w:r>
        <w:rPr>
          <w:rStyle w:val="53"/>
          <w:rFonts w:ascii="Arial Unicode MS" w:hAnsi="Arial Unicode MS"/>
          <w:color w:val="000000" w:themeColor="text1"/>
          <w:highlight w:val="none"/>
        </w:rPr>
        <w:t>4.4.2</w:t>
      </w:r>
      <w:r>
        <w:rPr>
          <w:rStyle w:val="53"/>
          <w:rFonts w:hint="eastAsia"/>
          <w:color w:val="000000" w:themeColor="text1"/>
          <w:highlight w:val="none"/>
        </w:rPr>
        <w:t>乙方的职责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_Toc428437282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"_Toc428437283" </w:instrText>
      </w:r>
      <w:r>
        <w:rPr>
          <w:color w:val="000000" w:themeColor="text1"/>
          <w:highlight w:val="none"/>
        </w:rPr>
        <w:fldChar w:fldCharType="separate"/>
      </w:r>
      <w:r>
        <w:rPr>
          <w:rStyle w:val="53"/>
          <w:rFonts w:ascii="Arial Unicode MS" w:hAnsi="Arial Unicode MS"/>
          <w:color w:val="000000" w:themeColor="text1"/>
          <w:highlight w:val="none"/>
        </w:rPr>
        <w:t>4.4.3</w:t>
      </w:r>
      <w:r>
        <w:rPr>
          <w:rStyle w:val="53"/>
          <w:rFonts w:hint="eastAsia"/>
          <w:color w:val="000000" w:themeColor="text1"/>
          <w:highlight w:val="none"/>
        </w:rPr>
        <w:t>甲方的职责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_Toc428437283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"_Toc428437284" </w:instrText>
      </w:r>
      <w:r>
        <w:rPr>
          <w:color w:val="000000" w:themeColor="text1"/>
          <w:highlight w:val="none"/>
        </w:rPr>
        <w:fldChar w:fldCharType="separate"/>
      </w:r>
      <w:r>
        <w:rPr>
          <w:rStyle w:val="53"/>
          <w:rFonts w:ascii="Arial Unicode MS" w:hAnsi="Arial Unicode MS"/>
          <w:color w:val="000000" w:themeColor="text1"/>
          <w:highlight w:val="none"/>
        </w:rPr>
        <w:t>4.4.4</w:t>
      </w:r>
      <w:r>
        <w:rPr>
          <w:rStyle w:val="53"/>
          <w:rFonts w:hint="eastAsia"/>
          <w:color w:val="000000" w:themeColor="text1"/>
          <w:highlight w:val="none"/>
        </w:rPr>
        <w:t>工作交付物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_Toc428437284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"_Toc428437285" </w:instrText>
      </w:r>
      <w:r>
        <w:rPr>
          <w:color w:val="000000" w:themeColor="text1"/>
          <w:highlight w:val="none"/>
        </w:rPr>
        <w:fldChar w:fldCharType="separate"/>
      </w:r>
      <w:r>
        <w:rPr>
          <w:rStyle w:val="53"/>
          <w:rFonts w:hint="eastAsia" w:ascii="Arial" w:hAnsi="Arial"/>
          <w:color w:val="000000" w:themeColor="text1"/>
          <w:highlight w:val="none"/>
        </w:rPr>
        <w:t>第5章</w:t>
      </w:r>
      <w:r>
        <w:rPr>
          <w:rStyle w:val="53"/>
          <w:rFonts w:hint="eastAsia"/>
          <w:color w:val="000000" w:themeColor="text1"/>
          <w:highlight w:val="none"/>
        </w:rPr>
        <w:t>项目管理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_Toc428437285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"_Toc428437286" </w:instrText>
      </w:r>
      <w:r>
        <w:rPr>
          <w:color w:val="000000" w:themeColor="text1"/>
          <w:highlight w:val="none"/>
        </w:rPr>
        <w:fldChar w:fldCharType="separate"/>
      </w:r>
      <w:r>
        <w:rPr>
          <w:rStyle w:val="53"/>
          <w:rFonts w:ascii="Arial Unicode MS" w:hAnsi="Arial Unicode MS" w:eastAsia="黑体"/>
          <w:color w:val="000000" w:themeColor="text1"/>
          <w:highlight w:val="none"/>
        </w:rPr>
        <w:t>5.1</w:t>
      </w:r>
      <w:r>
        <w:rPr>
          <w:rStyle w:val="53"/>
          <w:rFonts w:hint="eastAsia"/>
          <w:color w:val="000000" w:themeColor="text1"/>
          <w:highlight w:val="none"/>
        </w:rPr>
        <w:t>项目管理目的</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_Toc428437286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"_Toc428437287" </w:instrText>
      </w:r>
      <w:r>
        <w:rPr>
          <w:color w:val="000000" w:themeColor="text1"/>
          <w:highlight w:val="none"/>
        </w:rPr>
        <w:fldChar w:fldCharType="separate"/>
      </w:r>
      <w:r>
        <w:rPr>
          <w:rStyle w:val="53"/>
          <w:rFonts w:ascii="Arial Unicode MS" w:hAnsi="Arial Unicode MS" w:eastAsia="黑体"/>
          <w:color w:val="000000" w:themeColor="text1"/>
          <w:highlight w:val="none"/>
        </w:rPr>
        <w:t>5.2</w:t>
      </w:r>
      <w:r>
        <w:rPr>
          <w:rStyle w:val="53"/>
          <w:rFonts w:hint="eastAsia"/>
          <w:color w:val="000000" w:themeColor="text1"/>
          <w:highlight w:val="none"/>
        </w:rPr>
        <w:t>项目组织架构及职责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_Toc428437287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"_Toc428437288" </w:instrText>
      </w:r>
      <w:r>
        <w:rPr>
          <w:color w:val="000000" w:themeColor="text1"/>
          <w:highlight w:val="none"/>
        </w:rPr>
        <w:fldChar w:fldCharType="separate"/>
      </w:r>
      <w:r>
        <w:rPr>
          <w:rStyle w:val="53"/>
          <w:rFonts w:ascii="Arial Unicode MS" w:hAnsi="Arial Unicode MS" w:eastAsia="黑体"/>
          <w:color w:val="000000" w:themeColor="text1"/>
          <w:highlight w:val="none"/>
        </w:rPr>
        <w:t>5.3</w:t>
      </w:r>
      <w:r>
        <w:rPr>
          <w:rStyle w:val="53"/>
          <w:rFonts w:hint="eastAsia"/>
          <w:color w:val="000000" w:themeColor="text1"/>
          <w:highlight w:val="none"/>
        </w:rPr>
        <w:t>项目管理流程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_Toc428437288 \h </w:instrText>
      </w:r>
      <w:r>
        <w:rPr>
          <w:color w:val="000000" w:themeColor="text1"/>
          <w:highlight w:val="none"/>
        </w:rPr>
        <w:fldChar w:fldCharType="separate"/>
      </w:r>
      <w:r>
        <w:rPr>
          <w:color w:val="000000" w:themeColor="text1"/>
          <w:highlight w:val="none"/>
        </w:rPr>
        <w:t>47</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"_Toc428437289" </w:instrText>
      </w:r>
      <w:r>
        <w:rPr>
          <w:color w:val="000000" w:themeColor="text1"/>
          <w:highlight w:val="none"/>
        </w:rPr>
        <w:fldChar w:fldCharType="separate"/>
      </w:r>
      <w:r>
        <w:rPr>
          <w:rStyle w:val="53"/>
          <w:rFonts w:ascii="Arial Unicode MS" w:hAnsi="Arial Unicode MS" w:eastAsia="黑体"/>
          <w:color w:val="000000" w:themeColor="text1"/>
          <w:highlight w:val="none"/>
        </w:rPr>
        <w:t>5.4</w:t>
      </w:r>
      <w:r>
        <w:rPr>
          <w:rStyle w:val="53"/>
          <w:rFonts w:hint="eastAsia"/>
          <w:color w:val="000000" w:themeColor="text1"/>
          <w:highlight w:val="none"/>
        </w:rPr>
        <w:t>项目管理事项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_Toc428437289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"_Toc428437290" </w:instrText>
      </w:r>
      <w:r>
        <w:rPr>
          <w:color w:val="000000" w:themeColor="text1"/>
          <w:highlight w:val="none"/>
        </w:rPr>
        <w:fldChar w:fldCharType="separate"/>
      </w:r>
      <w:r>
        <w:rPr>
          <w:rStyle w:val="53"/>
          <w:rFonts w:ascii="Arial Unicode MS" w:hAnsi="Arial Unicode MS"/>
          <w:color w:val="000000" w:themeColor="text1"/>
          <w:highlight w:val="none"/>
        </w:rPr>
        <w:t>5.4.1</w:t>
      </w:r>
      <w:r>
        <w:rPr>
          <w:rStyle w:val="53"/>
          <w:rFonts w:hint="eastAsia"/>
          <w:color w:val="000000" w:themeColor="text1"/>
          <w:highlight w:val="none"/>
        </w:rPr>
        <w:t>计划管理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_Toc428437290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"_Toc428437291" </w:instrText>
      </w:r>
      <w:r>
        <w:rPr>
          <w:color w:val="000000" w:themeColor="text1"/>
          <w:highlight w:val="none"/>
        </w:rPr>
        <w:fldChar w:fldCharType="separate"/>
      </w:r>
      <w:r>
        <w:rPr>
          <w:rStyle w:val="53"/>
          <w:rFonts w:ascii="Arial Unicode MS" w:hAnsi="Arial Unicode MS"/>
          <w:color w:val="000000" w:themeColor="text1"/>
          <w:highlight w:val="none"/>
        </w:rPr>
        <w:t>5.4.2</w:t>
      </w:r>
      <w:r>
        <w:rPr>
          <w:rStyle w:val="53"/>
          <w:rFonts w:hint="eastAsia"/>
          <w:color w:val="000000" w:themeColor="text1"/>
          <w:highlight w:val="none"/>
        </w:rPr>
        <w:t>质量控制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_Toc428437291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"_Toc428437292" </w:instrText>
      </w:r>
      <w:r>
        <w:rPr>
          <w:color w:val="000000" w:themeColor="text1"/>
          <w:highlight w:val="none"/>
        </w:rPr>
        <w:fldChar w:fldCharType="separate"/>
      </w:r>
      <w:r>
        <w:rPr>
          <w:rStyle w:val="53"/>
          <w:rFonts w:ascii="Arial Unicode MS" w:hAnsi="Arial Unicode MS"/>
          <w:color w:val="000000" w:themeColor="text1"/>
          <w:highlight w:val="none"/>
        </w:rPr>
        <w:t>5.4.3</w:t>
      </w:r>
      <w:r>
        <w:rPr>
          <w:rStyle w:val="53"/>
          <w:rFonts w:hint="eastAsia"/>
          <w:color w:val="000000" w:themeColor="text1"/>
          <w:highlight w:val="none"/>
        </w:rPr>
        <w:t>风险管理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_Toc428437292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"_Toc428437293" </w:instrText>
      </w:r>
      <w:r>
        <w:rPr>
          <w:color w:val="000000" w:themeColor="text1"/>
          <w:highlight w:val="none"/>
        </w:rPr>
        <w:fldChar w:fldCharType="separate"/>
      </w:r>
      <w:r>
        <w:rPr>
          <w:rStyle w:val="53"/>
          <w:rFonts w:ascii="Arial Unicode MS" w:hAnsi="Arial Unicode MS"/>
          <w:color w:val="000000" w:themeColor="text1"/>
          <w:highlight w:val="none"/>
        </w:rPr>
        <w:t>5.4.4</w:t>
      </w:r>
      <w:r>
        <w:rPr>
          <w:rStyle w:val="53"/>
          <w:rFonts w:hint="eastAsia"/>
          <w:color w:val="000000" w:themeColor="text1"/>
          <w:highlight w:val="none"/>
        </w:rPr>
        <w:t>保密管理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_Toc428437293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"_Toc428437294" </w:instrText>
      </w:r>
      <w:r>
        <w:rPr>
          <w:color w:val="000000" w:themeColor="text1"/>
          <w:highlight w:val="none"/>
        </w:rPr>
        <w:fldChar w:fldCharType="separate"/>
      </w:r>
      <w:r>
        <w:rPr>
          <w:rStyle w:val="53"/>
          <w:rFonts w:ascii="Arial Unicode MS" w:hAnsi="Arial Unicode MS"/>
          <w:color w:val="000000" w:themeColor="text1"/>
          <w:highlight w:val="none"/>
        </w:rPr>
        <w:t>5.4.5</w:t>
      </w:r>
      <w:r>
        <w:rPr>
          <w:rStyle w:val="53"/>
          <w:rFonts w:hint="eastAsia"/>
          <w:color w:val="000000" w:themeColor="text1"/>
          <w:highlight w:val="none"/>
        </w:rPr>
        <w:t>沟通管理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_Toc428437294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"_Toc428437295" </w:instrText>
      </w:r>
      <w:r>
        <w:rPr>
          <w:color w:val="000000" w:themeColor="text1"/>
          <w:highlight w:val="none"/>
        </w:rPr>
        <w:fldChar w:fldCharType="separate"/>
      </w:r>
      <w:r>
        <w:rPr>
          <w:rStyle w:val="53"/>
          <w:rFonts w:ascii="Arial Unicode MS" w:hAnsi="Arial Unicode MS"/>
          <w:color w:val="000000" w:themeColor="text1"/>
          <w:highlight w:val="none"/>
        </w:rPr>
        <w:t>5.4.6</w:t>
      </w:r>
      <w:r>
        <w:rPr>
          <w:rStyle w:val="53"/>
          <w:rFonts w:hint="eastAsia"/>
          <w:color w:val="000000" w:themeColor="text1"/>
          <w:highlight w:val="none"/>
        </w:rPr>
        <w:t>人员管理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_Toc428437295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24"/>
        <w:tabs>
          <w:tab w:val="right" w:leader="dot" w:pos="8302"/>
        </w:tabs>
        <w:spacing w:before="120" w:after="120"/>
        <w:rPr>
          <w:i w:val="0"/>
          <w:iC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"_Toc428437296" </w:instrText>
      </w:r>
      <w:r>
        <w:rPr>
          <w:color w:val="000000" w:themeColor="text1"/>
          <w:highlight w:val="none"/>
        </w:rPr>
        <w:fldChar w:fldCharType="separate"/>
      </w:r>
      <w:r>
        <w:rPr>
          <w:rStyle w:val="53"/>
          <w:rFonts w:ascii="Arial Unicode MS" w:hAnsi="Arial Unicode MS"/>
          <w:color w:val="000000" w:themeColor="text1"/>
          <w:highlight w:val="none"/>
        </w:rPr>
        <w:t>5.4.7</w:t>
      </w:r>
      <w:r>
        <w:rPr>
          <w:rStyle w:val="53"/>
          <w:rFonts w:hint="eastAsia"/>
          <w:color w:val="000000" w:themeColor="text1"/>
          <w:highlight w:val="none"/>
        </w:rPr>
        <w:t>文档管理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_Toc428437296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"_Toc428437297" </w:instrText>
      </w:r>
      <w:r>
        <w:rPr>
          <w:color w:val="000000" w:themeColor="text1"/>
          <w:highlight w:val="none"/>
        </w:rPr>
        <w:fldChar w:fldCharType="separate"/>
      </w:r>
      <w:r>
        <w:rPr>
          <w:rStyle w:val="53"/>
          <w:rFonts w:hint="eastAsia" w:ascii="Arial" w:hAnsi="Arial"/>
          <w:color w:val="000000" w:themeColor="text1"/>
          <w:highlight w:val="none"/>
        </w:rPr>
        <w:t>第6章</w:t>
      </w:r>
      <w:r>
        <w:rPr>
          <w:rStyle w:val="53"/>
          <w:rFonts w:hint="eastAsia"/>
          <w:color w:val="000000" w:themeColor="text1"/>
          <w:highlight w:val="none"/>
        </w:rPr>
        <w:t>过程知识转移</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_Toc428437297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"_Toc428437298" </w:instrText>
      </w:r>
      <w:r>
        <w:rPr>
          <w:color w:val="000000" w:themeColor="text1"/>
          <w:highlight w:val="none"/>
        </w:rPr>
        <w:fldChar w:fldCharType="separate"/>
      </w:r>
      <w:r>
        <w:rPr>
          <w:rStyle w:val="53"/>
          <w:rFonts w:ascii="Arial Unicode MS" w:hAnsi="Arial Unicode MS" w:eastAsia="黑体"/>
          <w:color w:val="000000" w:themeColor="text1"/>
          <w:highlight w:val="none"/>
        </w:rPr>
        <w:t>6.1</w:t>
      </w:r>
      <w:r>
        <w:rPr>
          <w:rStyle w:val="53"/>
          <w:rFonts w:hint="eastAsia"/>
          <w:color w:val="000000" w:themeColor="text1"/>
          <w:highlight w:val="none"/>
        </w:rPr>
        <w:t>知识转移目的</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_Toc428437298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"_Toc428437299" </w:instrText>
      </w:r>
      <w:r>
        <w:rPr>
          <w:color w:val="000000" w:themeColor="text1"/>
          <w:highlight w:val="none"/>
        </w:rPr>
        <w:fldChar w:fldCharType="separate"/>
      </w:r>
      <w:r>
        <w:rPr>
          <w:rStyle w:val="53"/>
          <w:rFonts w:ascii="Arial Unicode MS" w:hAnsi="Arial Unicode MS" w:eastAsia="黑体"/>
          <w:color w:val="000000" w:themeColor="text1"/>
          <w:highlight w:val="none"/>
        </w:rPr>
        <w:t>6.2</w:t>
      </w:r>
      <w:r>
        <w:rPr>
          <w:rStyle w:val="53"/>
          <w:color w:val="000000" w:themeColor="text1"/>
          <w:highlight w:val="none"/>
        </w:rPr>
        <w:t xml:space="preserve"> XX</w:t>
      </w:r>
      <w:r>
        <w:rPr>
          <w:rStyle w:val="53"/>
          <w:rFonts w:hint="eastAsia"/>
          <w:color w:val="000000" w:themeColor="text1"/>
          <w:highlight w:val="none"/>
        </w:rPr>
        <w:t>公司职责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_Toc428437299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"_Toc428437300" </w:instrText>
      </w:r>
      <w:r>
        <w:rPr>
          <w:color w:val="000000" w:themeColor="text1"/>
          <w:highlight w:val="none"/>
        </w:rPr>
        <w:fldChar w:fldCharType="separate"/>
      </w:r>
      <w:r>
        <w:rPr>
          <w:rStyle w:val="53"/>
          <w:rFonts w:ascii="Arial Unicode MS" w:hAnsi="Arial Unicode MS" w:eastAsia="黑体"/>
          <w:color w:val="000000" w:themeColor="text1"/>
          <w:highlight w:val="none"/>
        </w:rPr>
        <w:t>6.3</w:t>
      </w:r>
      <w:r>
        <w:rPr>
          <w:rStyle w:val="53"/>
          <w:rFonts w:hint="eastAsia"/>
          <w:color w:val="000000" w:themeColor="text1"/>
          <w:highlight w:val="none"/>
        </w:rPr>
        <w:t>重庆银行职责</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_Toc428437300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"_Toc428437301" </w:instrText>
      </w:r>
      <w:r>
        <w:rPr>
          <w:color w:val="000000" w:themeColor="text1"/>
          <w:highlight w:val="none"/>
        </w:rPr>
        <w:fldChar w:fldCharType="separate"/>
      </w:r>
      <w:r>
        <w:rPr>
          <w:rStyle w:val="53"/>
          <w:rFonts w:hint="eastAsia" w:ascii="Arial" w:hAnsi="Arial"/>
          <w:color w:val="000000" w:themeColor="text1"/>
          <w:highlight w:val="none"/>
        </w:rPr>
        <w:t>第7章</w:t>
      </w:r>
      <w:r>
        <w:rPr>
          <w:rStyle w:val="53"/>
          <w:rFonts w:hint="eastAsia"/>
          <w:color w:val="000000" w:themeColor="text1"/>
          <w:highlight w:val="none"/>
        </w:rPr>
        <w:t>项目交付物清单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_Toc428437301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"_Toc428437302" </w:instrText>
      </w:r>
      <w:r>
        <w:rPr>
          <w:color w:val="000000" w:themeColor="text1"/>
          <w:highlight w:val="none"/>
        </w:rPr>
        <w:fldChar w:fldCharType="separate"/>
      </w:r>
      <w:r>
        <w:rPr>
          <w:rStyle w:val="53"/>
          <w:rFonts w:ascii="Arial Unicode MS" w:hAnsi="Arial Unicode MS" w:eastAsia="黑体"/>
          <w:color w:val="000000" w:themeColor="text1"/>
          <w:highlight w:val="none"/>
        </w:rPr>
        <w:t>7.1</w:t>
      </w:r>
      <w:r>
        <w:rPr>
          <w:rStyle w:val="53"/>
          <w:rFonts w:hint="eastAsia"/>
          <w:color w:val="000000" w:themeColor="text1"/>
          <w:highlight w:val="none"/>
        </w:rPr>
        <w:t>项目交付物形式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_Toc428437302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"_Toc428437303" </w:instrText>
      </w:r>
      <w:r>
        <w:rPr>
          <w:color w:val="000000" w:themeColor="text1"/>
          <w:highlight w:val="none"/>
        </w:rPr>
        <w:fldChar w:fldCharType="separate"/>
      </w:r>
      <w:r>
        <w:rPr>
          <w:rStyle w:val="53"/>
          <w:rFonts w:ascii="Arial Unicode MS" w:hAnsi="Arial Unicode MS" w:eastAsia="黑体"/>
          <w:color w:val="000000" w:themeColor="text1"/>
          <w:highlight w:val="none"/>
        </w:rPr>
        <w:t>7.2</w:t>
      </w:r>
      <w:r>
        <w:rPr>
          <w:rStyle w:val="53"/>
          <w:rFonts w:hint="eastAsia"/>
          <w:color w:val="000000" w:themeColor="text1"/>
          <w:highlight w:val="none"/>
        </w:rPr>
        <w:t>项目交付物清单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_Toc428437303 \h </w:instrText>
      </w:r>
      <w:r>
        <w:rPr>
          <w:color w:val="000000" w:themeColor="text1"/>
          <w:highlight w:val="none"/>
        </w:rPr>
        <w:fldChar w:fldCharType="separate"/>
      </w:r>
      <w:r>
        <w:rPr>
          <w:color w:val="000000" w:themeColor="text1"/>
          <w:highlight w:val="none"/>
        </w:rPr>
        <w:t>48</w:t>
      </w:r>
      <w:r>
        <w:rPr>
          <w:color w:val="000000" w:themeColor="text1"/>
          <w:highlight w:val="none"/>
        </w:rPr>
        <w:fldChar w:fldCharType="end"/>
      </w:r>
      <w:r>
        <w:rPr>
          <w:color w:val="000000" w:themeColor="text1"/>
          <w:highlight w:val="none"/>
        </w:rPr>
        <w:fldChar w:fldCharType="end"/>
      </w:r>
    </w:p>
    <w:p>
      <w:pPr>
        <w:pStyle w:val="34"/>
        <w:rPr>
          <w:b w:val="0"/>
          <w:bCs w:val="0"/>
          <w: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"_Toc428437304" </w:instrText>
      </w:r>
      <w:r>
        <w:rPr>
          <w:color w:val="000000" w:themeColor="text1"/>
          <w:highlight w:val="none"/>
        </w:rPr>
        <w:fldChar w:fldCharType="separate"/>
      </w:r>
      <w:r>
        <w:rPr>
          <w:rStyle w:val="53"/>
          <w:rFonts w:hint="eastAsia" w:ascii="Arial" w:hAnsi="Arial"/>
          <w:color w:val="000000" w:themeColor="text1"/>
          <w:highlight w:val="none"/>
        </w:rPr>
        <w:t>第8章</w:t>
      </w:r>
      <w:r>
        <w:rPr>
          <w:rStyle w:val="53"/>
          <w:rFonts w:hint="eastAsia"/>
          <w:color w:val="000000" w:themeColor="text1"/>
          <w:highlight w:val="none"/>
        </w:rPr>
        <w:t>项目验收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_Toc428437304 \h </w:instrText>
      </w:r>
      <w:r>
        <w:rPr>
          <w:color w:val="000000" w:themeColor="text1"/>
          <w:highlight w:val="none"/>
        </w:rPr>
        <w:fldChar w:fldCharType="separate"/>
      </w:r>
      <w:r>
        <w:rPr>
          <w:color w:val="000000" w:themeColor="text1"/>
          <w:highlight w:val="none"/>
        </w:rPr>
        <w:t>49</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"_Toc428437305" </w:instrText>
      </w:r>
      <w:r>
        <w:rPr>
          <w:color w:val="000000" w:themeColor="text1"/>
          <w:highlight w:val="none"/>
        </w:rPr>
        <w:fldChar w:fldCharType="separate"/>
      </w:r>
      <w:r>
        <w:rPr>
          <w:rStyle w:val="53"/>
          <w:rFonts w:ascii="Arial Unicode MS" w:hAnsi="Arial Unicode MS" w:eastAsia="黑体"/>
          <w:color w:val="000000" w:themeColor="text1"/>
          <w:highlight w:val="none"/>
        </w:rPr>
        <w:t>8.1</w:t>
      </w:r>
      <w:r>
        <w:rPr>
          <w:rStyle w:val="53"/>
          <w:rFonts w:hint="eastAsia"/>
          <w:color w:val="000000" w:themeColor="text1"/>
          <w:highlight w:val="none"/>
        </w:rPr>
        <w:t>项目阶段验收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_Toc428437305 \h </w:instrText>
      </w:r>
      <w:r>
        <w:rPr>
          <w:color w:val="000000" w:themeColor="text1"/>
          <w:highlight w:val="none"/>
        </w:rPr>
        <w:fldChar w:fldCharType="separate"/>
      </w:r>
      <w:r>
        <w:rPr>
          <w:color w:val="000000" w:themeColor="text1"/>
          <w:highlight w:val="none"/>
        </w:rPr>
        <w:t>49</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"_Toc428437306" </w:instrText>
      </w:r>
      <w:r>
        <w:rPr>
          <w:color w:val="000000" w:themeColor="text1"/>
          <w:highlight w:val="none"/>
        </w:rPr>
        <w:fldChar w:fldCharType="separate"/>
      </w:r>
      <w:r>
        <w:rPr>
          <w:rStyle w:val="53"/>
          <w:rFonts w:ascii="Arial Unicode MS" w:hAnsi="Arial Unicode MS" w:eastAsia="黑体"/>
          <w:color w:val="000000" w:themeColor="text1"/>
          <w:highlight w:val="none"/>
        </w:rPr>
        <w:t>8.2</w:t>
      </w:r>
      <w:r>
        <w:rPr>
          <w:rStyle w:val="53"/>
          <w:rFonts w:hint="eastAsia"/>
          <w:color w:val="000000" w:themeColor="text1"/>
          <w:highlight w:val="none"/>
        </w:rPr>
        <w:t>提交物验收过程</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_Toc428437306 \h </w:instrText>
      </w:r>
      <w:r>
        <w:rPr>
          <w:color w:val="000000" w:themeColor="text1"/>
          <w:highlight w:val="none"/>
        </w:rPr>
        <w:fldChar w:fldCharType="separate"/>
      </w:r>
      <w:r>
        <w:rPr>
          <w:color w:val="000000" w:themeColor="text1"/>
          <w:highlight w:val="none"/>
        </w:rPr>
        <w:t>49</w:t>
      </w:r>
      <w:r>
        <w:rPr>
          <w:color w:val="000000" w:themeColor="text1"/>
          <w:highlight w:val="none"/>
        </w:rPr>
        <w:fldChar w:fldCharType="end"/>
      </w:r>
      <w:r>
        <w:rPr>
          <w:color w:val="000000" w:themeColor="text1"/>
          <w:highlight w:val="none"/>
        </w:rPr>
        <w:fldChar w:fldCharType="end"/>
      </w:r>
    </w:p>
    <w:p>
      <w:pPr>
        <w:pStyle w:val="41"/>
        <w:tabs>
          <w:tab w:val="right" w:leader="dot" w:pos="8302"/>
        </w:tabs>
        <w:spacing w:before="120" w:after="120"/>
        <w:rPr>
          <w:smallCaps w:val="0"/>
          <w:color w:val="000000" w:themeColor="text1"/>
          <w:sz w:val="21"/>
          <w:szCs w:val="22"/>
          <w:highlight w:val="none"/>
        </w:rPr>
      </w:pPr>
      <w:r>
        <w:rPr>
          <w:color w:val="000000" w:themeColor="text1"/>
          <w:highlight w:val="none"/>
        </w:rPr>
        <w:fldChar w:fldCharType="begin"/>
      </w:r>
      <w:r>
        <w:rPr>
          <w:color w:val="000000" w:themeColor="text1"/>
          <w:highlight w:val="none"/>
        </w:rPr>
        <w:instrText xml:space="preserve"> HYPERLINK \l "_Toc428437307" </w:instrText>
      </w:r>
      <w:r>
        <w:rPr>
          <w:color w:val="000000" w:themeColor="text1"/>
          <w:highlight w:val="none"/>
        </w:rPr>
        <w:fldChar w:fldCharType="separate"/>
      </w:r>
      <w:r>
        <w:rPr>
          <w:rStyle w:val="53"/>
          <w:rFonts w:ascii="Arial Unicode MS" w:hAnsi="Arial Unicode MS" w:eastAsia="黑体"/>
          <w:color w:val="000000" w:themeColor="text1"/>
          <w:highlight w:val="none"/>
        </w:rPr>
        <w:t>8.3</w:t>
      </w:r>
      <w:r>
        <w:rPr>
          <w:rStyle w:val="53"/>
          <w:rFonts w:hint="eastAsia"/>
          <w:color w:val="000000" w:themeColor="text1"/>
          <w:highlight w:val="none"/>
        </w:rPr>
        <w:t>项目完成标志</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_Toc428437307 \h </w:instrText>
      </w:r>
      <w:r>
        <w:rPr>
          <w:color w:val="000000" w:themeColor="text1"/>
          <w:highlight w:val="none"/>
        </w:rPr>
        <w:fldChar w:fldCharType="separate"/>
      </w:r>
      <w:r>
        <w:rPr>
          <w:color w:val="000000" w:themeColor="text1"/>
          <w:highlight w:val="none"/>
        </w:rPr>
        <w:t>49</w:t>
      </w:r>
      <w:r>
        <w:rPr>
          <w:color w:val="000000" w:themeColor="text1"/>
          <w:highlight w:val="none"/>
        </w:rPr>
        <w:fldChar w:fldCharType="end"/>
      </w:r>
      <w:r>
        <w:rPr>
          <w:color w:val="000000" w:themeColor="text1"/>
          <w:highlight w:val="none"/>
        </w:rPr>
        <w:fldChar w:fldCharType="end"/>
      </w:r>
    </w:p>
    <w:p>
      <w:pPr>
        <w:pStyle w:val="34"/>
        <w:rPr>
          <w:color w:val="000000" w:themeColor="text1"/>
          <w:highlight w:val="none"/>
        </w:rPr>
        <w:sectPr>
          <w:pgSz w:w="11906" w:h="16838"/>
          <w:pgMar w:top="1440" w:right="1797" w:bottom="1440" w:left="1797" w:header="851" w:footer="992" w:gutter="0"/>
          <w:pgNumType w:start="43"/>
          <w:cols w:space="425" w:num="1"/>
          <w:docGrid w:linePitch="312" w:charSpace="0"/>
        </w:sectPr>
      </w:pPr>
      <w:r>
        <w:rPr>
          <w:color w:val="000000" w:themeColor="text1"/>
          <w:highlight w:val="none"/>
        </w:rPr>
        <w:fldChar w:fldCharType="end"/>
      </w:r>
    </w:p>
    <w:p>
      <w:pPr>
        <w:pStyle w:val="2"/>
        <w:spacing w:before="120" w:after="120"/>
        <w:ind w:firstLine="482"/>
        <w:rPr>
          <w:color w:val="000000" w:themeColor="text1"/>
          <w:sz w:val="24"/>
          <w:szCs w:val="24"/>
          <w:highlight w:val="none"/>
        </w:rPr>
      </w:pPr>
      <w:bookmarkStart w:id="157" w:name="_Toc428437250"/>
      <w:r>
        <w:rPr>
          <w:rFonts w:hint="eastAsia"/>
          <w:color w:val="000000" w:themeColor="text1"/>
          <w:sz w:val="24"/>
          <w:szCs w:val="24"/>
          <w:highlight w:val="none"/>
        </w:rPr>
        <w:t>前言</w:t>
      </w:r>
      <w:bookmarkEnd w:id="157"/>
    </w:p>
    <w:p>
      <w:pPr>
        <w:pStyle w:val="3"/>
        <w:spacing w:before="120" w:after="120"/>
        <w:rPr>
          <w:color w:val="000000" w:themeColor="text1"/>
          <w:sz w:val="24"/>
          <w:szCs w:val="24"/>
          <w:highlight w:val="none"/>
        </w:rPr>
      </w:pPr>
      <w:bookmarkStart w:id="158" w:name="_Toc428437251"/>
      <w:r>
        <w:rPr>
          <w:rFonts w:hint="eastAsia"/>
          <w:color w:val="000000" w:themeColor="text1"/>
          <w:sz w:val="24"/>
          <w:szCs w:val="24"/>
          <w:highlight w:val="none"/>
        </w:rPr>
        <w:t>目的</w:t>
      </w:r>
      <w:bookmarkEnd w:id="158"/>
    </w:p>
    <w:p>
      <w:pPr>
        <w:spacing w:before="120" w:after="120"/>
        <w:ind w:firstLine="426"/>
        <w:rPr>
          <w:color w:val="000000" w:themeColor="text1"/>
          <w:sz w:val="24"/>
          <w:szCs w:val="24"/>
          <w:highlight w:val="none"/>
        </w:rPr>
      </w:pPr>
      <w:r>
        <w:rPr>
          <w:rFonts w:hint="eastAsia"/>
          <w:color w:val="000000" w:themeColor="text1"/>
          <w:sz w:val="24"/>
          <w:szCs w:val="24"/>
          <w:highlight w:val="none"/>
        </w:rPr>
        <w:t>本文档针对本次“X</w:t>
      </w:r>
      <w:r>
        <w:rPr>
          <w:color w:val="000000" w:themeColor="text1"/>
          <w:sz w:val="24"/>
          <w:szCs w:val="24"/>
          <w:highlight w:val="none"/>
        </w:rPr>
        <w:t>XXXXX</w:t>
      </w:r>
      <w:r>
        <w:rPr>
          <w:rFonts w:hint="eastAsia"/>
          <w:color w:val="000000" w:themeColor="text1"/>
          <w:sz w:val="24"/>
          <w:szCs w:val="24"/>
          <w:highlight w:val="none"/>
        </w:rPr>
        <w:t>项目”的工作范围及职责进行的详细的描述，明确项目目标、工作内容、项目计划、项目管理、知识转移、项目组织结构、项目风险、项目验收以及交付物情况等内容。</w:t>
      </w:r>
    </w:p>
    <w:p>
      <w:pPr>
        <w:pStyle w:val="3"/>
        <w:spacing w:before="120" w:after="120"/>
        <w:rPr>
          <w:color w:val="000000" w:themeColor="text1"/>
          <w:sz w:val="24"/>
          <w:szCs w:val="24"/>
          <w:highlight w:val="none"/>
        </w:rPr>
      </w:pPr>
      <w:bookmarkStart w:id="159" w:name="_Toc428437252"/>
      <w:r>
        <w:rPr>
          <w:rFonts w:hint="eastAsia"/>
          <w:color w:val="000000" w:themeColor="text1"/>
          <w:sz w:val="24"/>
          <w:szCs w:val="24"/>
          <w:highlight w:val="none"/>
        </w:rPr>
        <w:t>术语</w:t>
      </w:r>
      <w:bookmarkEnd w:id="159"/>
    </w:p>
    <w:p>
      <w:pPr>
        <w:spacing w:before="120" w:after="120"/>
        <w:ind w:firstLine="426"/>
        <w:rPr>
          <w:color w:val="000000" w:themeColor="text1"/>
          <w:sz w:val="24"/>
          <w:szCs w:val="24"/>
          <w:highlight w:val="none"/>
        </w:rPr>
      </w:pPr>
      <w:r>
        <w:rPr>
          <w:rFonts w:hint="eastAsia"/>
          <w:color w:val="000000" w:themeColor="text1"/>
          <w:sz w:val="24"/>
          <w:szCs w:val="24"/>
          <w:highlight w:val="none"/>
        </w:rPr>
        <w:t>X</w:t>
      </w:r>
      <w:r>
        <w:rPr>
          <w:color w:val="000000" w:themeColor="text1"/>
          <w:sz w:val="24"/>
          <w:szCs w:val="24"/>
          <w:highlight w:val="none"/>
        </w:rPr>
        <w:t>XXXXXXX</w:t>
      </w:r>
    </w:p>
    <w:p>
      <w:pPr>
        <w:pStyle w:val="3"/>
        <w:spacing w:before="120" w:after="120"/>
        <w:rPr>
          <w:color w:val="000000" w:themeColor="text1"/>
          <w:sz w:val="24"/>
          <w:szCs w:val="24"/>
          <w:highlight w:val="none"/>
        </w:rPr>
      </w:pPr>
      <w:bookmarkStart w:id="160" w:name="_Toc428437253"/>
      <w:r>
        <w:rPr>
          <w:rFonts w:hint="eastAsia"/>
          <w:color w:val="000000" w:themeColor="text1"/>
          <w:sz w:val="24"/>
          <w:szCs w:val="24"/>
          <w:highlight w:val="none"/>
        </w:rPr>
        <w:t>参考文档</w:t>
      </w:r>
      <w:bookmarkEnd w:id="160"/>
    </w:p>
    <w:p>
      <w:pPr>
        <w:spacing w:before="120" w:after="120"/>
        <w:ind w:firstLine="426"/>
        <w:rPr>
          <w:color w:val="000000" w:themeColor="text1"/>
          <w:sz w:val="24"/>
          <w:szCs w:val="24"/>
          <w:highlight w:val="none"/>
        </w:rPr>
      </w:pPr>
      <w:r>
        <w:rPr>
          <w:rFonts w:hint="eastAsia"/>
          <w:color w:val="000000" w:themeColor="text1"/>
          <w:sz w:val="24"/>
          <w:szCs w:val="24"/>
          <w:highlight w:val="none"/>
        </w:rPr>
        <w:t>X</w:t>
      </w:r>
      <w:r>
        <w:rPr>
          <w:color w:val="000000" w:themeColor="text1"/>
          <w:sz w:val="24"/>
          <w:szCs w:val="24"/>
          <w:highlight w:val="none"/>
        </w:rPr>
        <w:t>XXXXXXX</w:t>
      </w:r>
    </w:p>
    <w:p>
      <w:pPr>
        <w:pStyle w:val="2"/>
        <w:spacing w:before="120" w:after="120"/>
        <w:ind w:firstLine="482"/>
        <w:rPr>
          <w:color w:val="000000" w:themeColor="text1"/>
          <w:sz w:val="24"/>
          <w:szCs w:val="24"/>
          <w:highlight w:val="none"/>
        </w:rPr>
      </w:pPr>
      <w:bookmarkStart w:id="161" w:name="_Toc428437254"/>
      <w:r>
        <w:rPr>
          <w:rFonts w:hint="eastAsia"/>
          <w:color w:val="000000" w:themeColor="text1"/>
          <w:sz w:val="24"/>
          <w:szCs w:val="24"/>
          <w:highlight w:val="none"/>
        </w:rPr>
        <w:t>项目概述</w:t>
      </w:r>
      <w:bookmarkEnd w:id="161"/>
    </w:p>
    <w:p>
      <w:pPr>
        <w:pStyle w:val="3"/>
        <w:spacing w:before="120" w:after="120"/>
        <w:rPr>
          <w:color w:val="000000" w:themeColor="text1"/>
          <w:sz w:val="24"/>
          <w:szCs w:val="24"/>
          <w:highlight w:val="none"/>
        </w:rPr>
      </w:pPr>
      <w:bookmarkStart w:id="162" w:name="_Toc428437255"/>
      <w:r>
        <w:rPr>
          <w:rFonts w:hint="eastAsia"/>
          <w:color w:val="000000" w:themeColor="text1"/>
          <w:sz w:val="24"/>
          <w:szCs w:val="24"/>
          <w:highlight w:val="none"/>
        </w:rPr>
        <w:t>项目背景</w:t>
      </w:r>
      <w:bookmarkEnd w:id="162"/>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63" w:name="_Toc428437256"/>
      <w:r>
        <w:rPr>
          <w:rFonts w:hint="eastAsia"/>
          <w:color w:val="000000" w:themeColor="text1"/>
          <w:sz w:val="24"/>
          <w:szCs w:val="24"/>
          <w:highlight w:val="none"/>
        </w:rPr>
        <w:t>项目目标</w:t>
      </w:r>
      <w:bookmarkEnd w:id="163"/>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64" w:name="_Toc428437257"/>
      <w:r>
        <w:rPr>
          <w:rFonts w:hint="eastAsia"/>
          <w:color w:val="000000" w:themeColor="text1"/>
          <w:sz w:val="24"/>
          <w:szCs w:val="24"/>
          <w:highlight w:val="none"/>
        </w:rPr>
        <w:t>项目范围</w:t>
      </w:r>
      <w:bookmarkEnd w:id="164"/>
    </w:p>
    <w:p>
      <w:pPr>
        <w:pStyle w:val="32"/>
        <w:spacing w:before="120" w:after="120"/>
        <w:ind w:firstLine="0" w:firstLineChars="0"/>
        <w:rPr>
          <w:color w:val="000000" w:themeColor="text1"/>
          <w:sz w:val="24"/>
          <w:highlight w:val="none"/>
        </w:rPr>
      </w:pPr>
    </w:p>
    <w:p>
      <w:pPr>
        <w:pStyle w:val="3"/>
        <w:spacing w:before="120" w:after="120"/>
        <w:rPr>
          <w:color w:val="000000" w:themeColor="text1"/>
          <w:sz w:val="24"/>
          <w:szCs w:val="24"/>
          <w:highlight w:val="none"/>
        </w:rPr>
      </w:pPr>
      <w:bookmarkStart w:id="165" w:name="_Toc428437258"/>
      <w:r>
        <w:rPr>
          <w:rFonts w:hint="eastAsia"/>
          <w:color w:val="000000" w:themeColor="text1"/>
          <w:sz w:val="24"/>
          <w:szCs w:val="24"/>
          <w:highlight w:val="none"/>
        </w:rPr>
        <w:t>项目实施条件</w:t>
      </w:r>
      <w:bookmarkEnd w:id="165"/>
    </w:p>
    <w:p>
      <w:pPr>
        <w:pStyle w:val="4"/>
        <w:spacing w:before="120" w:after="120" w:line="360" w:lineRule="auto"/>
        <w:rPr>
          <w:color w:val="000000" w:themeColor="text1"/>
          <w:sz w:val="24"/>
          <w:szCs w:val="24"/>
          <w:highlight w:val="none"/>
        </w:rPr>
      </w:pPr>
      <w:bookmarkStart w:id="166" w:name="_Toc428437259"/>
      <w:r>
        <w:rPr>
          <w:rFonts w:hint="eastAsia"/>
          <w:color w:val="000000" w:themeColor="text1"/>
          <w:sz w:val="24"/>
          <w:szCs w:val="24"/>
          <w:highlight w:val="none"/>
        </w:rPr>
        <w:t>场地环境</w:t>
      </w:r>
      <w:bookmarkEnd w:id="166"/>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67" w:name="_Toc428437260"/>
      <w:r>
        <w:rPr>
          <w:rFonts w:hint="eastAsia"/>
          <w:color w:val="000000" w:themeColor="text1"/>
          <w:sz w:val="24"/>
          <w:szCs w:val="24"/>
          <w:highlight w:val="none"/>
        </w:rPr>
        <w:t>人员配合</w:t>
      </w:r>
      <w:bookmarkEnd w:id="167"/>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68" w:name="_Toc428437261"/>
      <w:r>
        <w:rPr>
          <w:rFonts w:hint="eastAsia"/>
          <w:color w:val="000000" w:themeColor="text1"/>
          <w:sz w:val="24"/>
          <w:szCs w:val="24"/>
          <w:highlight w:val="none"/>
        </w:rPr>
        <w:t>其他</w:t>
      </w:r>
      <w:bookmarkEnd w:id="168"/>
    </w:p>
    <w:p>
      <w:pPr>
        <w:pStyle w:val="2"/>
        <w:spacing w:before="120" w:after="120"/>
        <w:ind w:firstLine="482"/>
        <w:rPr>
          <w:color w:val="000000" w:themeColor="text1"/>
          <w:sz w:val="24"/>
          <w:szCs w:val="24"/>
          <w:highlight w:val="none"/>
        </w:rPr>
      </w:pPr>
      <w:bookmarkStart w:id="169" w:name="_Toc428437262"/>
      <w:r>
        <w:rPr>
          <w:rFonts w:hint="eastAsia"/>
          <w:color w:val="000000" w:themeColor="text1"/>
          <w:sz w:val="24"/>
          <w:szCs w:val="24"/>
          <w:highlight w:val="none"/>
        </w:rPr>
        <w:t>项目内容</w:t>
      </w:r>
      <w:bookmarkEnd w:id="169"/>
    </w:p>
    <w:p>
      <w:pPr>
        <w:pStyle w:val="3"/>
        <w:spacing w:before="120" w:after="120"/>
        <w:rPr>
          <w:color w:val="000000" w:themeColor="text1"/>
          <w:sz w:val="24"/>
          <w:szCs w:val="24"/>
          <w:highlight w:val="none"/>
        </w:rPr>
      </w:pPr>
      <w:bookmarkStart w:id="170" w:name="_Toc428437263"/>
      <w:r>
        <w:rPr>
          <w:rFonts w:hint="eastAsia"/>
          <w:color w:val="000000" w:themeColor="text1"/>
          <w:sz w:val="24"/>
          <w:szCs w:val="24"/>
          <w:highlight w:val="none"/>
        </w:rPr>
        <w:t>XXXX</w:t>
      </w:r>
      <w:bookmarkEnd w:id="170"/>
    </w:p>
    <w:p>
      <w:pPr>
        <w:pStyle w:val="2"/>
        <w:spacing w:before="120" w:after="120"/>
        <w:ind w:firstLine="482"/>
        <w:rPr>
          <w:color w:val="000000" w:themeColor="text1"/>
          <w:sz w:val="24"/>
          <w:szCs w:val="24"/>
          <w:highlight w:val="none"/>
        </w:rPr>
      </w:pPr>
      <w:bookmarkStart w:id="171" w:name="_Toc428437264"/>
      <w:r>
        <w:rPr>
          <w:rFonts w:hint="eastAsia"/>
          <w:color w:val="000000" w:themeColor="text1"/>
          <w:sz w:val="24"/>
          <w:szCs w:val="24"/>
          <w:highlight w:val="none"/>
        </w:rPr>
        <w:t>项目</w:t>
      </w:r>
      <w:r>
        <w:rPr>
          <w:color w:val="000000" w:themeColor="text1"/>
          <w:sz w:val="24"/>
          <w:szCs w:val="24"/>
          <w:highlight w:val="none"/>
        </w:rPr>
        <w:t>阶段</w:t>
      </w:r>
      <w:bookmarkEnd w:id="171"/>
    </w:p>
    <w:p>
      <w:pPr>
        <w:pStyle w:val="3"/>
        <w:spacing w:before="120" w:after="120"/>
        <w:rPr>
          <w:color w:val="000000" w:themeColor="text1"/>
          <w:sz w:val="24"/>
          <w:szCs w:val="24"/>
          <w:highlight w:val="none"/>
        </w:rPr>
      </w:pPr>
      <w:bookmarkStart w:id="172" w:name="_Toc428437265"/>
      <w:r>
        <w:rPr>
          <w:rFonts w:hint="eastAsia"/>
          <w:color w:val="000000" w:themeColor="text1"/>
          <w:sz w:val="24"/>
          <w:szCs w:val="24"/>
          <w:highlight w:val="none"/>
        </w:rPr>
        <w:t>项目启动</w:t>
      </w:r>
      <w:r>
        <w:rPr>
          <w:color w:val="000000" w:themeColor="text1"/>
          <w:sz w:val="24"/>
          <w:szCs w:val="24"/>
          <w:highlight w:val="none"/>
        </w:rPr>
        <w:t>阶段</w:t>
      </w:r>
      <w:bookmarkEnd w:id="172"/>
    </w:p>
    <w:p>
      <w:pPr>
        <w:pStyle w:val="4"/>
        <w:spacing w:before="120" w:after="120" w:line="360" w:lineRule="auto"/>
        <w:rPr>
          <w:color w:val="000000" w:themeColor="text1"/>
          <w:sz w:val="24"/>
          <w:szCs w:val="24"/>
          <w:highlight w:val="none"/>
        </w:rPr>
      </w:pPr>
      <w:bookmarkStart w:id="173" w:name="_Toc428437266"/>
      <w:r>
        <w:rPr>
          <w:rFonts w:hint="eastAsia"/>
          <w:color w:val="000000" w:themeColor="text1"/>
          <w:sz w:val="24"/>
          <w:szCs w:val="24"/>
          <w:highlight w:val="none"/>
        </w:rPr>
        <w:t>工作</w:t>
      </w:r>
      <w:r>
        <w:rPr>
          <w:color w:val="000000" w:themeColor="text1"/>
          <w:sz w:val="24"/>
          <w:szCs w:val="24"/>
          <w:highlight w:val="none"/>
        </w:rPr>
        <w:t>描述</w:t>
      </w:r>
      <w:bookmarkEnd w:id="173"/>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74" w:name="_Toc428437267"/>
      <w:r>
        <w:rPr>
          <w:rFonts w:hint="eastAsia"/>
          <w:color w:val="000000" w:themeColor="text1"/>
          <w:sz w:val="24"/>
          <w:szCs w:val="24"/>
          <w:highlight w:val="none"/>
        </w:rPr>
        <w:t>乙方</w:t>
      </w:r>
      <w:r>
        <w:rPr>
          <w:color w:val="000000" w:themeColor="text1"/>
          <w:sz w:val="24"/>
          <w:szCs w:val="24"/>
          <w:highlight w:val="none"/>
        </w:rPr>
        <w:t>的职责</w:t>
      </w:r>
      <w:bookmarkEnd w:id="174"/>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75" w:name="_Toc428437268"/>
      <w:r>
        <w:rPr>
          <w:rFonts w:hint="eastAsia"/>
          <w:color w:val="000000" w:themeColor="text1"/>
          <w:sz w:val="24"/>
          <w:szCs w:val="24"/>
          <w:highlight w:val="none"/>
        </w:rPr>
        <w:t>甲方</w:t>
      </w:r>
      <w:r>
        <w:rPr>
          <w:color w:val="000000" w:themeColor="text1"/>
          <w:sz w:val="24"/>
          <w:szCs w:val="24"/>
          <w:highlight w:val="none"/>
        </w:rPr>
        <w:t>的职责</w:t>
      </w:r>
      <w:bookmarkEnd w:id="175"/>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76" w:name="_Toc428437269"/>
      <w:r>
        <w:rPr>
          <w:rFonts w:hint="eastAsia"/>
          <w:color w:val="000000" w:themeColor="text1"/>
          <w:sz w:val="24"/>
          <w:szCs w:val="24"/>
          <w:highlight w:val="none"/>
        </w:rPr>
        <w:t>工作</w:t>
      </w:r>
      <w:r>
        <w:rPr>
          <w:color w:val="000000" w:themeColor="text1"/>
          <w:sz w:val="24"/>
          <w:szCs w:val="24"/>
          <w:highlight w:val="none"/>
        </w:rPr>
        <w:t>交付物</w:t>
      </w:r>
      <w:bookmarkEnd w:id="176"/>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77" w:name="_Toc428437270"/>
      <w:r>
        <w:rPr>
          <w:rFonts w:hint="eastAsia"/>
          <w:color w:val="000000" w:themeColor="text1"/>
          <w:sz w:val="24"/>
          <w:szCs w:val="24"/>
          <w:highlight w:val="none"/>
        </w:rPr>
        <w:t>项目计划</w:t>
      </w:r>
      <w:r>
        <w:rPr>
          <w:color w:val="000000" w:themeColor="text1"/>
          <w:sz w:val="24"/>
          <w:szCs w:val="24"/>
          <w:highlight w:val="none"/>
        </w:rPr>
        <w:t>阶段</w:t>
      </w:r>
      <w:bookmarkEnd w:id="177"/>
    </w:p>
    <w:p>
      <w:pPr>
        <w:pStyle w:val="4"/>
        <w:spacing w:before="120" w:after="120" w:line="360" w:lineRule="auto"/>
        <w:rPr>
          <w:color w:val="000000" w:themeColor="text1"/>
          <w:sz w:val="24"/>
          <w:szCs w:val="24"/>
          <w:highlight w:val="none"/>
        </w:rPr>
      </w:pPr>
      <w:bookmarkStart w:id="178" w:name="_Toc428437271"/>
      <w:r>
        <w:rPr>
          <w:rFonts w:hint="eastAsia"/>
          <w:color w:val="000000" w:themeColor="text1"/>
          <w:sz w:val="24"/>
          <w:szCs w:val="24"/>
          <w:highlight w:val="none"/>
        </w:rPr>
        <w:t>工作</w:t>
      </w:r>
      <w:r>
        <w:rPr>
          <w:color w:val="000000" w:themeColor="text1"/>
          <w:sz w:val="24"/>
          <w:szCs w:val="24"/>
          <w:highlight w:val="none"/>
        </w:rPr>
        <w:t>描述</w:t>
      </w:r>
      <w:bookmarkEnd w:id="178"/>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79" w:name="_Toc428437272"/>
      <w:r>
        <w:rPr>
          <w:rFonts w:hint="eastAsia"/>
          <w:color w:val="000000" w:themeColor="text1"/>
          <w:sz w:val="24"/>
          <w:szCs w:val="24"/>
          <w:highlight w:val="none"/>
        </w:rPr>
        <w:t>乙方</w:t>
      </w:r>
      <w:r>
        <w:rPr>
          <w:color w:val="000000" w:themeColor="text1"/>
          <w:sz w:val="24"/>
          <w:szCs w:val="24"/>
          <w:highlight w:val="none"/>
        </w:rPr>
        <w:t>的职责</w:t>
      </w:r>
      <w:bookmarkEnd w:id="179"/>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0" w:name="_Toc428437273"/>
      <w:r>
        <w:rPr>
          <w:rFonts w:hint="eastAsia"/>
          <w:color w:val="000000" w:themeColor="text1"/>
          <w:sz w:val="24"/>
          <w:szCs w:val="24"/>
          <w:highlight w:val="none"/>
        </w:rPr>
        <w:t>甲方</w:t>
      </w:r>
      <w:r>
        <w:rPr>
          <w:color w:val="000000" w:themeColor="text1"/>
          <w:sz w:val="24"/>
          <w:szCs w:val="24"/>
          <w:highlight w:val="none"/>
        </w:rPr>
        <w:t>的职责</w:t>
      </w:r>
      <w:bookmarkEnd w:id="180"/>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1" w:name="_Toc428437274"/>
      <w:r>
        <w:rPr>
          <w:rFonts w:hint="eastAsia"/>
          <w:color w:val="000000" w:themeColor="text1"/>
          <w:sz w:val="24"/>
          <w:szCs w:val="24"/>
          <w:highlight w:val="none"/>
        </w:rPr>
        <w:t>工作</w:t>
      </w:r>
      <w:r>
        <w:rPr>
          <w:color w:val="000000" w:themeColor="text1"/>
          <w:sz w:val="24"/>
          <w:szCs w:val="24"/>
          <w:highlight w:val="none"/>
        </w:rPr>
        <w:t>交付物</w:t>
      </w:r>
      <w:bookmarkEnd w:id="181"/>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82" w:name="_Toc428437275"/>
      <w:r>
        <w:rPr>
          <w:rFonts w:hint="eastAsia"/>
          <w:color w:val="000000" w:themeColor="text1"/>
          <w:sz w:val="24"/>
          <w:szCs w:val="24"/>
          <w:highlight w:val="none"/>
        </w:rPr>
        <w:t>项目实现</w:t>
      </w:r>
      <w:r>
        <w:rPr>
          <w:color w:val="000000" w:themeColor="text1"/>
          <w:sz w:val="24"/>
          <w:szCs w:val="24"/>
          <w:highlight w:val="none"/>
        </w:rPr>
        <w:t>阶段</w:t>
      </w:r>
      <w:bookmarkEnd w:id="182"/>
    </w:p>
    <w:p>
      <w:pPr>
        <w:pStyle w:val="4"/>
        <w:spacing w:before="120" w:after="120" w:line="360" w:lineRule="auto"/>
        <w:rPr>
          <w:color w:val="000000" w:themeColor="text1"/>
          <w:sz w:val="24"/>
          <w:szCs w:val="24"/>
          <w:highlight w:val="none"/>
        </w:rPr>
      </w:pPr>
      <w:bookmarkStart w:id="183" w:name="_Toc428437276"/>
      <w:r>
        <w:rPr>
          <w:rFonts w:hint="eastAsia"/>
          <w:color w:val="000000" w:themeColor="text1"/>
          <w:sz w:val="24"/>
          <w:szCs w:val="24"/>
          <w:highlight w:val="none"/>
        </w:rPr>
        <w:t>工作</w:t>
      </w:r>
      <w:r>
        <w:rPr>
          <w:color w:val="000000" w:themeColor="text1"/>
          <w:sz w:val="24"/>
          <w:szCs w:val="24"/>
          <w:highlight w:val="none"/>
        </w:rPr>
        <w:t>描述</w:t>
      </w:r>
      <w:bookmarkEnd w:id="183"/>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4" w:name="_Toc428437277"/>
      <w:r>
        <w:rPr>
          <w:rFonts w:hint="eastAsia"/>
          <w:color w:val="000000" w:themeColor="text1"/>
          <w:sz w:val="24"/>
          <w:szCs w:val="24"/>
          <w:highlight w:val="none"/>
        </w:rPr>
        <w:t>乙方</w:t>
      </w:r>
      <w:r>
        <w:rPr>
          <w:color w:val="000000" w:themeColor="text1"/>
          <w:sz w:val="24"/>
          <w:szCs w:val="24"/>
          <w:highlight w:val="none"/>
        </w:rPr>
        <w:t>的职责</w:t>
      </w:r>
      <w:bookmarkEnd w:id="184"/>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5" w:name="_Toc428437278"/>
      <w:r>
        <w:rPr>
          <w:rFonts w:hint="eastAsia"/>
          <w:color w:val="000000" w:themeColor="text1"/>
          <w:sz w:val="24"/>
          <w:szCs w:val="24"/>
          <w:highlight w:val="none"/>
        </w:rPr>
        <w:t>甲方</w:t>
      </w:r>
      <w:r>
        <w:rPr>
          <w:color w:val="000000" w:themeColor="text1"/>
          <w:sz w:val="24"/>
          <w:szCs w:val="24"/>
          <w:highlight w:val="none"/>
        </w:rPr>
        <w:t>的职责</w:t>
      </w:r>
      <w:bookmarkEnd w:id="185"/>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6" w:name="_Toc428437279"/>
      <w:r>
        <w:rPr>
          <w:rFonts w:hint="eastAsia"/>
          <w:color w:val="000000" w:themeColor="text1"/>
          <w:sz w:val="24"/>
          <w:szCs w:val="24"/>
          <w:highlight w:val="none"/>
        </w:rPr>
        <w:t>工作</w:t>
      </w:r>
      <w:r>
        <w:rPr>
          <w:color w:val="000000" w:themeColor="text1"/>
          <w:sz w:val="24"/>
          <w:szCs w:val="24"/>
          <w:highlight w:val="none"/>
        </w:rPr>
        <w:t>交付物</w:t>
      </w:r>
      <w:bookmarkEnd w:id="186"/>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87" w:name="_Toc428437280"/>
      <w:r>
        <w:rPr>
          <w:rFonts w:hint="eastAsia"/>
          <w:color w:val="000000" w:themeColor="text1"/>
          <w:sz w:val="24"/>
          <w:szCs w:val="24"/>
          <w:highlight w:val="none"/>
        </w:rPr>
        <w:t>项目验收</w:t>
      </w:r>
      <w:r>
        <w:rPr>
          <w:color w:val="000000" w:themeColor="text1"/>
          <w:sz w:val="24"/>
          <w:szCs w:val="24"/>
          <w:highlight w:val="none"/>
        </w:rPr>
        <w:t>阶段</w:t>
      </w:r>
      <w:bookmarkEnd w:id="187"/>
    </w:p>
    <w:p>
      <w:pPr>
        <w:pStyle w:val="4"/>
        <w:spacing w:before="120" w:after="120" w:line="360" w:lineRule="auto"/>
        <w:rPr>
          <w:color w:val="000000" w:themeColor="text1"/>
          <w:sz w:val="24"/>
          <w:szCs w:val="24"/>
          <w:highlight w:val="none"/>
        </w:rPr>
      </w:pPr>
      <w:bookmarkStart w:id="188" w:name="_Toc428437281"/>
      <w:r>
        <w:rPr>
          <w:rFonts w:hint="eastAsia"/>
          <w:color w:val="000000" w:themeColor="text1"/>
          <w:sz w:val="24"/>
          <w:szCs w:val="24"/>
          <w:highlight w:val="none"/>
        </w:rPr>
        <w:t>工作</w:t>
      </w:r>
      <w:r>
        <w:rPr>
          <w:color w:val="000000" w:themeColor="text1"/>
          <w:sz w:val="24"/>
          <w:szCs w:val="24"/>
          <w:highlight w:val="none"/>
        </w:rPr>
        <w:t>描述</w:t>
      </w:r>
      <w:bookmarkEnd w:id="188"/>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89" w:name="_Toc428437282"/>
      <w:r>
        <w:rPr>
          <w:rFonts w:hint="eastAsia"/>
          <w:color w:val="000000" w:themeColor="text1"/>
          <w:sz w:val="24"/>
          <w:szCs w:val="24"/>
          <w:highlight w:val="none"/>
        </w:rPr>
        <w:t>乙方</w:t>
      </w:r>
      <w:r>
        <w:rPr>
          <w:color w:val="000000" w:themeColor="text1"/>
          <w:sz w:val="24"/>
          <w:szCs w:val="24"/>
          <w:highlight w:val="none"/>
        </w:rPr>
        <w:t>的职责</w:t>
      </w:r>
      <w:bookmarkEnd w:id="189"/>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90" w:name="_Toc428437283"/>
      <w:r>
        <w:rPr>
          <w:rFonts w:hint="eastAsia"/>
          <w:color w:val="000000" w:themeColor="text1"/>
          <w:sz w:val="24"/>
          <w:szCs w:val="24"/>
          <w:highlight w:val="none"/>
        </w:rPr>
        <w:t>甲方</w:t>
      </w:r>
      <w:r>
        <w:rPr>
          <w:color w:val="000000" w:themeColor="text1"/>
          <w:sz w:val="24"/>
          <w:szCs w:val="24"/>
          <w:highlight w:val="none"/>
        </w:rPr>
        <w:t>的职责</w:t>
      </w:r>
      <w:bookmarkEnd w:id="190"/>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91" w:name="_Toc428437284"/>
      <w:r>
        <w:rPr>
          <w:rFonts w:hint="eastAsia"/>
          <w:color w:val="000000" w:themeColor="text1"/>
          <w:sz w:val="24"/>
          <w:szCs w:val="24"/>
          <w:highlight w:val="none"/>
        </w:rPr>
        <w:t>工作</w:t>
      </w:r>
      <w:r>
        <w:rPr>
          <w:color w:val="000000" w:themeColor="text1"/>
          <w:sz w:val="24"/>
          <w:szCs w:val="24"/>
          <w:highlight w:val="none"/>
        </w:rPr>
        <w:t>交付物</w:t>
      </w:r>
      <w:bookmarkEnd w:id="191"/>
    </w:p>
    <w:p>
      <w:pPr>
        <w:pStyle w:val="32"/>
        <w:spacing w:before="120" w:after="120"/>
        <w:ind w:firstLine="480"/>
        <w:rPr>
          <w:color w:val="000000" w:themeColor="text1"/>
          <w:sz w:val="24"/>
          <w:highlight w:val="none"/>
        </w:rPr>
      </w:pPr>
    </w:p>
    <w:p>
      <w:pPr>
        <w:pStyle w:val="2"/>
        <w:spacing w:before="120" w:after="120"/>
        <w:ind w:firstLine="482"/>
        <w:rPr>
          <w:color w:val="000000" w:themeColor="text1"/>
          <w:sz w:val="24"/>
          <w:szCs w:val="24"/>
          <w:highlight w:val="none"/>
        </w:rPr>
      </w:pPr>
      <w:bookmarkStart w:id="192" w:name="_Toc428437285"/>
      <w:r>
        <w:rPr>
          <w:rFonts w:hint="eastAsia"/>
          <w:color w:val="000000" w:themeColor="text1"/>
          <w:sz w:val="24"/>
          <w:szCs w:val="24"/>
          <w:highlight w:val="none"/>
        </w:rPr>
        <w:t>项目管理</w:t>
      </w:r>
      <w:bookmarkEnd w:id="192"/>
    </w:p>
    <w:p>
      <w:pPr>
        <w:pStyle w:val="3"/>
        <w:spacing w:before="120" w:after="120"/>
        <w:rPr>
          <w:color w:val="000000" w:themeColor="text1"/>
          <w:sz w:val="24"/>
          <w:szCs w:val="24"/>
          <w:highlight w:val="none"/>
        </w:rPr>
      </w:pPr>
      <w:bookmarkStart w:id="193" w:name="_Toc428437286"/>
      <w:r>
        <w:rPr>
          <w:rFonts w:hint="eastAsia"/>
          <w:color w:val="000000" w:themeColor="text1"/>
          <w:sz w:val="24"/>
          <w:szCs w:val="24"/>
          <w:highlight w:val="none"/>
        </w:rPr>
        <w:t>项目管理目的</w:t>
      </w:r>
      <w:bookmarkEnd w:id="193"/>
    </w:p>
    <w:p>
      <w:pPr>
        <w:pStyle w:val="32"/>
        <w:spacing w:before="120" w:after="120"/>
        <w:ind w:firstLine="480"/>
        <w:rPr>
          <w:color w:val="000000" w:themeColor="text1"/>
          <w:sz w:val="24"/>
          <w:highlight w:val="none"/>
        </w:rPr>
      </w:pPr>
      <w:r>
        <w:rPr>
          <w:rFonts w:hint="eastAsia"/>
          <w:color w:val="000000" w:themeColor="text1"/>
          <w:sz w:val="24"/>
          <w:highlight w:val="none"/>
        </w:rPr>
        <w:t>在项目过程中进行计划管理、质量管理、风险管理、保密管理、沟通管理、人员管理、以及文档管理等，保障项目能够按照计划高质量完成，确保建立符合重庆银行实际的外包管理体系，并保证最终研究成果能够通过银监局及银监会的审核。</w:t>
      </w:r>
    </w:p>
    <w:p>
      <w:pPr>
        <w:pStyle w:val="3"/>
        <w:spacing w:before="120" w:after="120"/>
        <w:rPr>
          <w:color w:val="000000" w:themeColor="text1"/>
          <w:sz w:val="24"/>
          <w:szCs w:val="24"/>
          <w:highlight w:val="none"/>
        </w:rPr>
      </w:pPr>
      <w:bookmarkStart w:id="194" w:name="_Toc428437287"/>
      <w:r>
        <w:rPr>
          <w:rFonts w:hint="eastAsia"/>
          <w:color w:val="000000" w:themeColor="text1"/>
          <w:sz w:val="24"/>
          <w:szCs w:val="24"/>
          <w:highlight w:val="none"/>
        </w:rPr>
        <w:t>项目组织</w:t>
      </w:r>
      <w:r>
        <w:rPr>
          <w:color w:val="000000" w:themeColor="text1"/>
          <w:sz w:val="24"/>
          <w:szCs w:val="24"/>
          <w:highlight w:val="none"/>
        </w:rPr>
        <w:t>架构及职责</w:t>
      </w:r>
      <w:bookmarkEnd w:id="194"/>
    </w:p>
    <w:p>
      <w:pPr>
        <w:pStyle w:val="32"/>
        <w:spacing w:before="120" w:after="120"/>
        <w:ind w:firstLine="480"/>
        <w:rPr>
          <w:color w:val="000000" w:themeColor="text1"/>
          <w:sz w:val="24"/>
          <w:highlight w:val="none"/>
        </w:rPr>
      </w:pPr>
    </w:p>
    <w:p>
      <w:pPr>
        <w:pStyle w:val="3"/>
        <w:spacing w:before="120" w:after="120"/>
        <w:rPr>
          <w:color w:val="000000" w:themeColor="text1"/>
          <w:sz w:val="24"/>
          <w:szCs w:val="24"/>
          <w:highlight w:val="none"/>
        </w:rPr>
      </w:pPr>
      <w:bookmarkStart w:id="195" w:name="_Toc428437288"/>
      <w:r>
        <w:rPr>
          <w:rFonts w:hint="eastAsia"/>
          <w:color w:val="000000" w:themeColor="text1"/>
          <w:sz w:val="24"/>
          <w:szCs w:val="24"/>
          <w:highlight w:val="none"/>
        </w:rPr>
        <w:t>项目管理流程</w:t>
      </w:r>
      <w:bookmarkEnd w:id="195"/>
    </w:p>
    <w:p>
      <w:pPr>
        <w:pStyle w:val="32"/>
        <w:spacing w:before="120" w:after="120"/>
        <w:ind w:firstLine="480"/>
        <w:rPr>
          <w:color w:val="000000" w:themeColor="text1"/>
          <w:sz w:val="24"/>
          <w:highlight w:val="none"/>
        </w:rPr>
      </w:pPr>
      <w:r>
        <w:rPr>
          <w:rFonts w:hint="eastAsia"/>
          <w:color w:val="000000" w:themeColor="text1"/>
          <w:sz w:val="24"/>
          <w:highlight w:val="none"/>
        </w:rPr>
        <w:t>项目管理流程如下图所示：</w:t>
      </w:r>
    </w:p>
    <w:p>
      <w:pPr>
        <w:pStyle w:val="286"/>
        <w:spacing w:before="156" w:after="156"/>
        <w:ind w:firstLine="0" w:firstLineChars="0"/>
        <w:rPr>
          <w:color w:val="000000" w:themeColor="text1"/>
          <w:sz w:val="24"/>
          <w:szCs w:val="24"/>
          <w:highlight w:val="none"/>
        </w:rPr>
      </w:pPr>
    </w:p>
    <w:p>
      <w:pPr>
        <w:pStyle w:val="3"/>
        <w:spacing w:before="120" w:after="120"/>
        <w:rPr>
          <w:color w:val="000000" w:themeColor="text1"/>
          <w:sz w:val="24"/>
          <w:szCs w:val="24"/>
          <w:highlight w:val="none"/>
        </w:rPr>
      </w:pPr>
      <w:bookmarkStart w:id="196" w:name="_Toc428437289"/>
      <w:r>
        <w:rPr>
          <w:color w:val="000000" w:themeColor="text1"/>
          <w:sz w:val="24"/>
          <w:szCs w:val="24"/>
          <w:highlight w:val="none"/>
        </w:rPr>
        <w:t>项目管理事项</w:t>
      </w:r>
      <w:bookmarkEnd w:id="196"/>
    </w:p>
    <w:p>
      <w:pPr>
        <w:pStyle w:val="4"/>
        <w:spacing w:before="120" w:after="120" w:line="360" w:lineRule="auto"/>
        <w:rPr>
          <w:color w:val="000000" w:themeColor="text1"/>
          <w:sz w:val="24"/>
          <w:szCs w:val="24"/>
          <w:highlight w:val="none"/>
        </w:rPr>
      </w:pPr>
      <w:bookmarkStart w:id="197" w:name="_Toc385373672"/>
      <w:bookmarkStart w:id="198" w:name="_Toc428437290"/>
      <w:r>
        <w:rPr>
          <w:rFonts w:hint="eastAsia"/>
          <w:color w:val="000000" w:themeColor="text1"/>
          <w:sz w:val="24"/>
          <w:szCs w:val="24"/>
          <w:highlight w:val="none"/>
        </w:rPr>
        <w:t>计划</w:t>
      </w:r>
      <w:bookmarkEnd w:id="197"/>
      <w:r>
        <w:rPr>
          <w:rFonts w:hint="eastAsia"/>
          <w:color w:val="000000" w:themeColor="text1"/>
          <w:sz w:val="24"/>
          <w:szCs w:val="24"/>
          <w:highlight w:val="none"/>
        </w:rPr>
        <w:t>管理</w:t>
      </w:r>
      <w:bookmarkEnd w:id="198"/>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199" w:name="_Toc428437291"/>
      <w:r>
        <w:rPr>
          <w:rFonts w:hint="eastAsia"/>
          <w:color w:val="000000" w:themeColor="text1"/>
          <w:sz w:val="24"/>
          <w:szCs w:val="24"/>
          <w:highlight w:val="none"/>
        </w:rPr>
        <w:t>质量控制</w:t>
      </w:r>
      <w:bookmarkEnd w:id="199"/>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200" w:name="_Toc428437292"/>
      <w:bookmarkStart w:id="201" w:name="_Toc385373680"/>
      <w:r>
        <w:rPr>
          <w:rFonts w:hint="eastAsia"/>
          <w:color w:val="000000" w:themeColor="text1"/>
          <w:sz w:val="24"/>
          <w:szCs w:val="24"/>
          <w:highlight w:val="none"/>
        </w:rPr>
        <w:t>风险管理</w:t>
      </w:r>
      <w:bookmarkEnd w:id="200"/>
      <w:bookmarkEnd w:id="201"/>
      <w:bookmarkStart w:id="202" w:name="_Toc385373681"/>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203" w:name="_Toc428437293"/>
      <w:r>
        <w:rPr>
          <w:color w:val="000000" w:themeColor="text1"/>
          <w:sz w:val="24"/>
          <w:szCs w:val="24"/>
          <w:highlight w:val="none"/>
        </w:rPr>
        <w:t>保密管理</w:t>
      </w:r>
      <w:bookmarkEnd w:id="203"/>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204" w:name="_Toc428437294"/>
      <w:r>
        <w:rPr>
          <w:rFonts w:hint="eastAsia"/>
          <w:color w:val="000000" w:themeColor="text1"/>
          <w:sz w:val="24"/>
          <w:szCs w:val="24"/>
          <w:highlight w:val="none"/>
        </w:rPr>
        <w:t>沟通管理</w:t>
      </w:r>
      <w:bookmarkEnd w:id="202"/>
      <w:bookmarkEnd w:id="204"/>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205" w:name="_Toc428437295"/>
      <w:r>
        <w:rPr>
          <w:color w:val="000000" w:themeColor="text1"/>
          <w:sz w:val="24"/>
          <w:szCs w:val="24"/>
          <w:highlight w:val="none"/>
        </w:rPr>
        <w:t>人员管理</w:t>
      </w:r>
      <w:bookmarkEnd w:id="205"/>
    </w:p>
    <w:p>
      <w:pPr>
        <w:pStyle w:val="32"/>
        <w:spacing w:before="120" w:after="120"/>
        <w:ind w:firstLine="480"/>
        <w:rPr>
          <w:color w:val="000000" w:themeColor="text1"/>
          <w:sz w:val="24"/>
          <w:highlight w:val="none"/>
        </w:rPr>
      </w:pPr>
    </w:p>
    <w:p>
      <w:pPr>
        <w:pStyle w:val="4"/>
        <w:spacing w:before="120" w:after="120" w:line="360" w:lineRule="auto"/>
        <w:rPr>
          <w:color w:val="000000" w:themeColor="text1"/>
          <w:sz w:val="24"/>
          <w:szCs w:val="24"/>
          <w:highlight w:val="none"/>
        </w:rPr>
      </w:pPr>
      <w:bookmarkStart w:id="206" w:name="_Toc428437296"/>
      <w:r>
        <w:rPr>
          <w:color w:val="000000" w:themeColor="text1"/>
          <w:sz w:val="24"/>
          <w:szCs w:val="24"/>
          <w:highlight w:val="none"/>
        </w:rPr>
        <w:t>文档管理</w:t>
      </w:r>
      <w:bookmarkEnd w:id="206"/>
    </w:p>
    <w:p>
      <w:pPr>
        <w:pStyle w:val="32"/>
        <w:spacing w:before="120" w:after="120"/>
        <w:ind w:firstLine="480"/>
        <w:rPr>
          <w:color w:val="000000" w:themeColor="text1"/>
          <w:sz w:val="24"/>
          <w:highlight w:val="none"/>
        </w:rPr>
      </w:pPr>
    </w:p>
    <w:p>
      <w:pPr>
        <w:pStyle w:val="2"/>
        <w:spacing w:before="120" w:after="120"/>
        <w:ind w:firstLine="482"/>
        <w:rPr>
          <w:color w:val="000000" w:themeColor="text1"/>
          <w:sz w:val="24"/>
          <w:szCs w:val="24"/>
          <w:highlight w:val="none"/>
        </w:rPr>
      </w:pPr>
      <w:bookmarkStart w:id="207" w:name="_Toc428437297"/>
      <w:r>
        <w:rPr>
          <w:rFonts w:hint="eastAsia"/>
          <w:color w:val="000000" w:themeColor="text1"/>
          <w:sz w:val="24"/>
          <w:szCs w:val="24"/>
          <w:highlight w:val="none"/>
        </w:rPr>
        <w:t>过程知识转移</w:t>
      </w:r>
      <w:bookmarkEnd w:id="207"/>
    </w:p>
    <w:p>
      <w:pPr>
        <w:pStyle w:val="3"/>
        <w:widowControl/>
        <w:spacing w:before="156" w:after="156"/>
        <w:rPr>
          <w:color w:val="000000" w:themeColor="text1"/>
          <w:sz w:val="24"/>
          <w:szCs w:val="24"/>
          <w:highlight w:val="none"/>
        </w:rPr>
      </w:pPr>
      <w:bookmarkStart w:id="208" w:name="_Toc86162982"/>
      <w:bookmarkStart w:id="209" w:name="_Toc90313065"/>
      <w:bookmarkStart w:id="210" w:name="_Toc428437298"/>
      <w:r>
        <w:rPr>
          <w:rFonts w:hint="eastAsia"/>
          <w:color w:val="000000" w:themeColor="text1"/>
          <w:sz w:val="24"/>
          <w:szCs w:val="24"/>
          <w:highlight w:val="none"/>
        </w:rPr>
        <w:t>知识转移目的</w:t>
      </w:r>
      <w:bookmarkEnd w:id="208"/>
      <w:bookmarkEnd w:id="209"/>
      <w:bookmarkEnd w:id="210"/>
    </w:p>
    <w:p>
      <w:pPr>
        <w:pStyle w:val="32"/>
        <w:spacing w:before="120" w:after="120"/>
        <w:ind w:firstLine="480"/>
        <w:rPr>
          <w:color w:val="000000" w:themeColor="text1"/>
          <w:sz w:val="24"/>
          <w:highlight w:val="none"/>
        </w:rPr>
      </w:pPr>
    </w:p>
    <w:p>
      <w:pPr>
        <w:pStyle w:val="3"/>
        <w:widowControl/>
        <w:spacing w:before="156" w:after="156"/>
        <w:rPr>
          <w:color w:val="000000" w:themeColor="text1"/>
          <w:sz w:val="24"/>
          <w:szCs w:val="24"/>
          <w:highlight w:val="none"/>
        </w:rPr>
      </w:pPr>
      <w:bookmarkStart w:id="211" w:name="_Toc428437299"/>
      <w:r>
        <w:rPr>
          <w:rFonts w:hint="eastAsia"/>
          <w:color w:val="000000" w:themeColor="text1"/>
          <w:sz w:val="24"/>
          <w:szCs w:val="24"/>
          <w:highlight w:val="none"/>
        </w:rPr>
        <w:t>X</w:t>
      </w:r>
      <w:r>
        <w:rPr>
          <w:color w:val="000000" w:themeColor="text1"/>
          <w:sz w:val="24"/>
          <w:szCs w:val="24"/>
          <w:highlight w:val="none"/>
        </w:rPr>
        <w:t>X</w:t>
      </w:r>
      <w:r>
        <w:rPr>
          <w:rFonts w:hint="eastAsia"/>
          <w:color w:val="000000" w:themeColor="text1"/>
          <w:sz w:val="24"/>
          <w:szCs w:val="24"/>
          <w:highlight w:val="none"/>
        </w:rPr>
        <w:t>公司职责</w:t>
      </w:r>
      <w:bookmarkEnd w:id="211"/>
    </w:p>
    <w:p>
      <w:pPr>
        <w:pStyle w:val="32"/>
        <w:spacing w:before="120" w:after="120"/>
        <w:ind w:firstLine="480"/>
        <w:rPr>
          <w:color w:val="000000" w:themeColor="text1"/>
          <w:sz w:val="24"/>
          <w:highlight w:val="none"/>
        </w:rPr>
      </w:pPr>
    </w:p>
    <w:p>
      <w:pPr>
        <w:pStyle w:val="3"/>
        <w:widowControl/>
        <w:spacing w:before="156" w:after="156"/>
        <w:rPr>
          <w:color w:val="000000" w:themeColor="text1"/>
          <w:sz w:val="24"/>
          <w:szCs w:val="24"/>
          <w:highlight w:val="none"/>
        </w:rPr>
      </w:pPr>
      <w:bookmarkStart w:id="212" w:name="_Toc428437300"/>
      <w:r>
        <w:rPr>
          <w:rFonts w:hint="eastAsia"/>
          <w:color w:val="000000" w:themeColor="text1"/>
          <w:sz w:val="24"/>
          <w:szCs w:val="24"/>
          <w:highlight w:val="none"/>
        </w:rPr>
        <w:t>重庆银行职责</w:t>
      </w:r>
      <w:bookmarkEnd w:id="212"/>
    </w:p>
    <w:p>
      <w:pPr>
        <w:pStyle w:val="2"/>
        <w:spacing w:before="120" w:after="120"/>
        <w:ind w:firstLine="482"/>
        <w:rPr>
          <w:color w:val="000000" w:themeColor="text1"/>
          <w:sz w:val="24"/>
          <w:szCs w:val="24"/>
          <w:highlight w:val="none"/>
        </w:rPr>
      </w:pPr>
      <w:bookmarkStart w:id="213" w:name="_Toc428437301"/>
      <w:r>
        <w:rPr>
          <w:rFonts w:hint="eastAsia"/>
          <w:color w:val="000000" w:themeColor="text1"/>
          <w:sz w:val="24"/>
          <w:szCs w:val="24"/>
          <w:highlight w:val="none"/>
        </w:rPr>
        <w:t>项目交付物清单</w:t>
      </w:r>
      <w:bookmarkEnd w:id="213"/>
    </w:p>
    <w:p>
      <w:pPr>
        <w:pStyle w:val="3"/>
        <w:widowControl/>
        <w:spacing w:before="156" w:after="156"/>
        <w:rPr>
          <w:color w:val="000000" w:themeColor="text1"/>
          <w:sz w:val="24"/>
          <w:szCs w:val="24"/>
          <w:highlight w:val="none"/>
        </w:rPr>
      </w:pPr>
      <w:bookmarkStart w:id="214" w:name="_Toc428437302"/>
      <w:r>
        <w:rPr>
          <w:rFonts w:hint="eastAsia"/>
          <w:color w:val="000000" w:themeColor="text1"/>
          <w:sz w:val="24"/>
          <w:szCs w:val="24"/>
          <w:highlight w:val="none"/>
        </w:rPr>
        <w:t>项目交付物</w:t>
      </w:r>
      <w:r>
        <w:rPr>
          <w:color w:val="000000" w:themeColor="text1"/>
          <w:sz w:val="24"/>
          <w:szCs w:val="24"/>
          <w:highlight w:val="none"/>
        </w:rPr>
        <w:t>形式</w:t>
      </w:r>
      <w:bookmarkEnd w:id="214"/>
    </w:p>
    <w:p>
      <w:pPr>
        <w:pStyle w:val="32"/>
        <w:spacing w:before="120" w:after="120"/>
        <w:ind w:firstLine="480"/>
        <w:rPr>
          <w:color w:val="000000" w:themeColor="text1"/>
          <w:sz w:val="24"/>
          <w:highlight w:val="none"/>
        </w:rPr>
      </w:pPr>
    </w:p>
    <w:p>
      <w:pPr>
        <w:pStyle w:val="3"/>
        <w:widowControl/>
        <w:spacing w:before="156" w:after="156"/>
        <w:rPr>
          <w:color w:val="000000" w:themeColor="text1"/>
          <w:sz w:val="24"/>
          <w:szCs w:val="24"/>
          <w:highlight w:val="none"/>
        </w:rPr>
      </w:pPr>
      <w:bookmarkStart w:id="215" w:name="_Toc428437303"/>
      <w:r>
        <w:rPr>
          <w:rFonts w:hint="eastAsia"/>
          <w:color w:val="000000" w:themeColor="text1"/>
          <w:sz w:val="24"/>
          <w:szCs w:val="24"/>
          <w:highlight w:val="none"/>
        </w:rPr>
        <w:t>项目</w:t>
      </w:r>
      <w:r>
        <w:rPr>
          <w:color w:val="000000" w:themeColor="text1"/>
          <w:sz w:val="24"/>
          <w:szCs w:val="24"/>
          <w:highlight w:val="none"/>
        </w:rPr>
        <w:t>交付物清单</w:t>
      </w:r>
      <w:bookmarkEnd w:id="215"/>
    </w:p>
    <w:p>
      <w:pPr>
        <w:pStyle w:val="32"/>
        <w:spacing w:before="120" w:after="120"/>
        <w:ind w:firstLine="480"/>
        <w:rPr>
          <w:color w:val="000000" w:themeColor="text1"/>
          <w:sz w:val="24"/>
          <w:highlight w:val="none"/>
        </w:rPr>
      </w:pPr>
    </w:p>
    <w:p>
      <w:pPr>
        <w:pStyle w:val="2"/>
        <w:spacing w:before="120" w:after="120"/>
        <w:ind w:firstLine="482"/>
        <w:rPr>
          <w:color w:val="000000" w:themeColor="text1"/>
          <w:sz w:val="24"/>
          <w:szCs w:val="24"/>
          <w:highlight w:val="none"/>
        </w:rPr>
      </w:pPr>
      <w:bookmarkStart w:id="216" w:name="_Toc428437304"/>
      <w:r>
        <w:rPr>
          <w:rFonts w:hint="eastAsia"/>
          <w:color w:val="000000" w:themeColor="text1"/>
          <w:sz w:val="24"/>
          <w:szCs w:val="24"/>
          <w:highlight w:val="none"/>
        </w:rPr>
        <w:t>项目验收</w:t>
      </w:r>
      <w:bookmarkEnd w:id="216"/>
    </w:p>
    <w:p>
      <w:pPr>
        <w:pStyle w:val="3"/>
        <w:widowControl/>
        <w:spacing w:before="156" w:after="156"/>
        <w:rPr>
          <w:color w:val="000000" w:themeColor="text1"/>
          <w:sz w:val="24"/>
          <w:szCs w:val="24"/>
          <w:highlight w:val="none"/>
        </w:rPr>
      </w:pPr>
      <w:bookmarkStart w:id="217" w:name="_Toc101671986"/>
      <w:bookmarkStart w:id="218" w:name="_Toc428437305"/>
      <w:r>
        <w:rPr>
          <w:rFonts w:hint="eastAsia"/>
          <w:color w:val="000000" w:themeColor="text1"/>
          <w:sz w:val="24"/>
          <w:szCs w:val="24"/>
          <w:highlight w:val="none"/>
        </w:rPr>
        <w:t>项目阶段验收</w:t>
      </w:r>
      <w:bookmarkEnd w:id="217"/>
      <w:bookmarkEnd w:id="218"/>
    </w:p>
    <w:p>
      <w:pPr>
        <w:pStyle w:val="32"/>
        <w:spacing w:before="120" w:after="120"/>
        <w:ind w:firstLine="480"/>
        <w:rPr>
          <w:color w:val="000000" w:themeColor="text1"/>
          <w:sz w:val="24"/>
          <w:highlight w:val="none"/>
        </w:rPr>
      </w:pPr>
    </w:p>
    <w:p>
      <w:pPr>
        <w:pStyle w:val="3"/>
        <w:widowControl/>
        <w:spacing w:before="156" w:after="156"/>
        <w:rPr>
          <w:color w:val="000000" w:themeColor="text1"/>
          <w:sz w:val="24"/>
          <w:szCs w:val="24"/>
          <w:highlight w:val="none"/>
        </w:rPr>
      </w:pPr>
      <w:bookmarkStart w:id="219" w:name="_Toc428437306"/>
      <w:r>
        <w:rPr>
          <w:rFonts w:hint="eastAsia"/>
          <w:color w:val="000000" w:themeColor="text1"/>
          <w:sz w:val="24"/>
          <w:szCs w:val="24"/>
          <w:highlight w:val="none"/>
        </w:rPr>
        <w:t>提交物验收过程</w:t>
      </w:r>
      <w:bookmarkEnd w:id="219"/>
    </w:p>
    <w:p>
      <w:pPr>
        <w:pStyle w:val="32"/>
        <w:spacing w:before="120" w:after="120"/>
        <w:ind w:firstLine="480"/>
        <w:rPr>
          <w:color w:val="000000" w:themeColor="text1"/>
          <w:sz w:val="24"/>
          <w:highlight w:val="none"/>
        </w:rPr>
      </w:pPr>
    </w:p>
    <w:p>
      <w:pPr>
        <w:pStyle w:val="3"/>
        <w:widowControl/>
        <w:spacing w:before="156" w:after="156"/>
        <w:rPr>
          <w:color w:val="000000" w:themeColor="text1"/>
          <w:sz w:val="24"/>
          <w:szCs w:val="24"/>
          <w:highlight w:val="none"/>
        </w:rPr>
      </w:pPr>
      <w:bookmarkStart w:id="220" w:name="_Toc101671989"/>
      <w:bookmarkStart w:id="221" w:name="_Toc428437307"/>
      <w:r>
        <w:rPr>
          <w:rFonts w:hint="eastAsia"/>
          <w:color w:val="000000" w:themeColor="text1"/>
          <w:sz w:val="24"/>
          <w:szCs w:val="24"/>
          <w:highlight w:val="none"/>
        </w:rPr>
        <w:t>项目完成标志</w:t>
      </w:r>
      <w:bookmarkEnd w:id="220"/>
      <w:bookmarkEnd w:id="221"/>
    </w:p>
    <w:p>
      <w:pPr>
        <w:spacing w:before="120" w:after="120"/>
        <w:rPr>
          <w:color w:val="000000" w:themeColor="text1"/>
          <w:highlight w:val="none"/>
        </w:rPr>
      </w:pPr>
    </w:p>
    <w:p>
      <w:pPr>
        <w:rPr>
          <w:rFonts w:ascii="宋体" w:hAnsi="宋体"/>
          <w:color w:val="000000" w:themeColor="text1"/>
          <w:highlight w:val="none"/>
        </w:rPr>
      </w:pP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附件二外包服务水平协议（SLA）</w:t>
      </w:r>
    </w:p>
    <w:p>
      <w:pPr>
        <w:pStyle w:val="285"/>
        <w:numPr>
          <w:ilvl w:val="0"/>
          <w:numId w:val="10"/>
        </w:numPr>
        <w:ind w:firstLineChars="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目标</w:t>
      </w:r>
    </w:p>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本水平服务协议（SLA）的目标是为了清晰的定义由外包供应商（即乙方）在</w:t>
      </w:r>
      <w:r>
        <w:rPr>
          <w:rFonts w:hint="eastAsia" w:ascii="Times New Roman" w:hAnsi="Times New Roman"/>
          <w:color w:val="000000" w:themeColor="text1"/>
          <w:sz w:val="24"/>
          <w:szCs w:val="24"/>
          <w:highlight w:val="none"/>
        </w:rPr>
        <w:t>xxx</w:t>
      </w:r>
      <w:r>
        <w:rPr>
          <w:rFonts w:ascii="Times New Roman" w:hAnsi="Times New Roman"/>
          <w:color w:val="000000" w:themeColor="text1"/>
          <w:sz w:val="24"/>
          <w:szCs w:val="24"/>
          <w:highlight w:val="none"/>
        </w:rPr>
        <w:t>项目中为重庆银行（即甲方）提供的服务水平管理，本SLA主要为：</w:t>
      </w:r>
    </w:p>
    <w:p>
      <w:pPr>
        <w:pStyle w:val="285"/>
        <w:numPr>
          <w:ilvl w:val="0"/>
          <w:numId w:val="11"/>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描述由外部供应商为重庆银行提供的服务内容</w:t>
      </w:r>
    </w:p>
    <w:p>
      <w:pPr>
        <w:pStyle w:val="285"/>
        <w:numPr>
          <w:ilvl w:val="0"/>
          <w:numId w:val="11"/>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明确重庆银行对外包供应商所提供服务水平的期望</w:t>
      </w:r>
    </w:p>
    <w:p>
      <w:pPr>
        <w:pStyle w:val="285"/>
        <w:numPr>
          <w:ilvl w:val="0"/>
          <w:numId w:val="11"/>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规范和加强重庆银行对外包供应商所提供服务水平的控制</w:t>
      </w:r>
    </w:p>
    <w:p>
      <w:pPr>
        <w:pStyle w:val="285"/>
        <w:ind w:firstLine="48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双方将针对本项目制定明确的职责分工表用来确定计划和管理服务水平协议的角色和职责。</w:t>
      </w:r>
    </w:p>
    <w:p>
      <w:pPr>
        <w:pStyle w:val="285"/>
        <w:numPr>
          <w:ilvl w:val="0"/>
          <w:numId w:val="10"/>
        </w:numPr>
        <w:ind w:firstLineChars="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协议期限</w:t>
      </w:r>
    </w:p>
    <w:p>
      <w:pPr>
        <w:pStyle w:val="285"/>
        <w:ind w:left="420" w:firstLine="0"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根据双方达成的一致要求，本协议的有效期与主合同期限一致。</w:t>
      </w:r>
    </w:p>
    <w:p>
      <w:pPr>
        <w:pStyle w:val="285"/>
        <w:numPr>
          <w:ilvl w:val="0"/>
          <w:numId w:val="10"/>
        </w:numPr>
        <w:ind w:firstLineChars="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双方职责</w:t>
      </w:r>
    </w:p>
    <w:p>
      <w:pPr>
        <w:outlineLvl w:val="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3.1.  外包供应商</w:t>
      </w:r>
    </w:p>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外包供应商将提交在第7章描述的服务水平衡量和目标。另外，外包供应商将：</w:t>
      </w:r>
    </w:p>
    <w:p>
      <w:pPr>
        <w:pStyle w:val="285"/>
        <w:numPr>
          <w:ilvl w:val="0"/>
          <w:numId w:val="12"/>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立即向重庆银行管理层汇报发现的问题；</w:t>
      </w:r>
    </w:p>
    <w:p>
      <w:pPr>
        <w:pStyle w:val="285"/>
        <w:numPr>
          <w:ilvl w:val="0"/>
          <w:numId w:val="12"/>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帮助重庆银行管理SLA</w:t>
      </w:r>
    </w:p>
    <w:p>
      <w:pPr>
        <w:pStyle w:val="285"/>
        <w:numPr>
          <w:ilvl w:val="0"/>
          <w:numId w:val="12"/>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任何可能影响外包供应商向重庆银行提供SLA中规定服务的服务能力的事件，外包供应商应尽早向重庆银行提供预警信息。事件包括但不限于：</w:t>
      </w:r>
    </w:p>
    <w:p>
      <w:pPr>
        <w:pStyle w:val="285"/>
        <w:numPr>
          <w:ilvl w:val="4"/>
          <w:numId w:val="13"/>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组织架构变更</w:t>
      </w:r>
    </w:p>
    <w:p>
      <w:pPr>
        <w:pStyle w:val="285"/>
        <w:numPr>
          <w:ilvl w:val="4"/>
          <w:numId w:val="13"/>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技术变更</w:t>
      </w:r>
    </w:p>
    <w:p>
      <w:pPr>
        <w:pStyle w:val="285"/>
        <w:numPr>
          <w:ilvl w:val="4"/>
          <w:numId w:val="13"/>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职能变更</w:t>
      </w:r>
    </w:p>
    <w:p>
      <w:pPr>
        <w:pStyle w:val="285"/>
        <w:numPr>
          <w:ilvl w:val="3"/>
          <w:numId w:val="14"/>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协助重庆银行及时解决生产事件。当问题产生时，应尽快采取适当的措施识别并修复问题。</w:t>
      </w:r>
    </w:p>
    <w:p>
      <w:pPr>
        <w:outlineLvl w:val="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3.2. 重庆银行</w:t>
      </w:r>
    </w:p>
    <w:p>
      <w:pPr>
        <w:pStyle w:val="285"/>
        <w:numPr>
          <w:ilvl w:val="3"/>
          <w:numId w:val="14"/>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重庆银行将尽快将问题汇报给银行帮助服务台和外包供应商管理层；</w:t>
      </w:r>
    </w:p>
    <w:p>
      <w:pPr>
        <w:pStyle w:val="285"/>
        <w:numPr>
          <w:ilvl w:val="3"/>
          <w:numId w:val="14"/>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协助外包供应商管理SLA；</w:t>
      </w:r>
    </w:p>
    <w:p>
      <w:pPr>
        <w:pStyle w:val="285"/>
        <w:numPr>
          <w:ilvl w:val="3"/>
          <w:numId w:val="14"/>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提供任何可能影响外包供应商向重庆银行提供SLA中规定服务的服务能力的事件信息，包括但不限于：</w:t>
      </w:r>
    </w:p>
    <w:p>
      <w:pPr>
        <w:pStyle w:val="285"/>
        <w:numPr>
          <w:ilvl w:val="4"/>
          <w:numId w:val="15"/>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组织架构变更</w:t>
      </w:r>
    </w:p>
    <w:p>
      <w:pPr>
        <w:pStyle w:val="285"/>
        <w:numPr>
          <w:ilvl w:val="4"/>
          <w:numId w:val="15"/>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技术变更</w:t>
      </w:r>
    </w:p>
    <w:p>
      <w:pPr>
        <w:pStyle w:val="285"/>
        <w:numPr>
          <w:ilvl w:val="4"/>
          <w:numId w:val="15"/>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职能变更</w:t>
      </w: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4. 服务内容</w:t>
      </w:r>
    </w:p>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ab/>
      </w:r>
      <w:r>
        <w:rPr>
          <w:rFonts w:ascii="Times New Roman" w:hAnsi="Times New Roman"/>
          <w:color w:val="000000" w:themeColor="text1"/>
          <w:sz w:val="24"/>
          <w:szCs w:val="24"/>
          <w:highlight w:val="none"/>
        </w:rPr>
        <w:t>外包供应商（即乙方）为甲方提供以下服务内容：</w:t>
      </w:r>
    </w:p>
    <w:tbl>
      <w:tblPr>
        <w:tblStyle w:val="5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4.1技术管理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4.1.1</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项目执行控制</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管理目标、沟通和范围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4.1.2</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系统部署</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在银行所提供的技术环境内配置和部署系统接入所需的资源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4.1.3</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管理系统</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管理运行过程中的各个环节和环境（如测试、培训、维护等）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4.2系统处理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4.2.1</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备份</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提供数据容量规划咨询，设计系统的备份策略，完成其有效性验证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4.2.2</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恢复</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设计系统的恢复策略，完成其有效性验证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4.3软件开发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4.3.1</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软件管理</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负责管理和设计应用软件，配合进行软件过程开发管理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4.3.2</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系统接口开发</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设计和开发系统内部各模块的接口以及与外部系统进行数据交互的接口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4.3.3</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代码开发和测试</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编写代码并完成系统集成测试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4.3.4</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知识转移</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负责现场培训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4.4支持和维护系统发布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4.4.1</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变更管理</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根据变更需求在银行的技术环境内设计并且执行所有平台和应用软件变更程序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4.4.2</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系统监控</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提供对系统监控的支持，包括专有硬件设备（如有）、应用系统进程、日志、连接等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4.4.3</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发布管理</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制定测试环境发布方案，协助将具体的目标系统从测试环境移植到生产的上线方案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3"/>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4.5后续支持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4.5.1</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版本安装、更新和升级</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根据系统版本安装和升级支持，包括响应银行对生产、测试、开发、培训环境的安装和升级要求；提供硬件更换服务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4.5.2</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服务台支持</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提供7</w:t>
            </w:r>
            <w:r>
              <w:rPr>
                <w:rFonts w:hint="eastAsia" w:ascii="Times New Roman" w:hAnsi="Times New Roman"/>
                <w:color w:val="000000" w:themeColor="text1"/>
                <w:sz w:val="24"/>
                <w:szCs w:val="24"/>
                <w:highlight w:val="none"/>
              </w:rPr>
              <w:t>*</w:t>
            </w:r>
            <w:r>
              <w:rPr>
                <w:rFonts w:ascii="Times New Roman" w:hAnsi="Times New Roman"/>
                <w:color w:val="000000" w:themeColor="text1"/>
                <w:sz w:val="24"/>
                <w:szCs w:val="24"/>
                <w:highlight w:val="none"/>
              </w:rPr>
              <w:t>24小时的技术支持服务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4.5.3</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巡检服务</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提供系统运行状况报告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4.5.4</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现场问题解决</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提供重大问题现场解决，提供系统性能、容量、问题报告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4.5.5</w:t>
            </w:r>
          </w:p>
        </w:tc>
        <w:tc>
          <w:tcPr>
            <w:tcW w:w="2126"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响应要求</w:t>
            </w:r>
          </w:p>
        </w:tc>
        <w:tc>
          <w:tcPr>
            <w:tcW w:w="543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要求按服务水平和指标及时响应：</w:t>
            </w:r>
          </w:p>
          <w:p>
            <w:pPr>
              <w:rPr>
                <w:rFonts w:ascii="Times New Roman" w:hAnsi="Times New Roman"/>
                <w:color w:val="000000" w:themeColor="text1"/>
                <w:sz w:val="24"/>
                <w:szCs w:val="24"/>
                <w:highlight w:val="none"/>
              </w:rPr>
            </w:pPr>
            <w:r>
              <w:rPr>
                <w:rFonts w:ascii="Times New Roman" w:hAnsi="Times New Roman"/>
                <w:b/>
                <w:color w:val="000000" w:themeColor="text1"/>
                <w:sz w:val="24"/>
                <w:szCs w:val="24"/>
                <w:highlight w:val="none"/>
              </w:rPr>
              <w:t>一级响应：</w:t>
            </w:r>
            <w:r>
              <w:rPr>
                <w:rFonts w:ascii="Times New Roman" w:hAnsi="Times New Roman"/>
                <w:color w:val="000000" w:themeColor="text1"/>
                <w:sz w:val="24"/>
                <w:szCs w:val="24"/>
                <w:highlight w:val="none"/>
              </w:rPr>
              <w:t>系统崩溃，不能响应或效能严重削弱，系统的某个主要功能不能正常工作，对业务的正常运行造成重大影响。响应时间15分钟，30分钟到达现场，3小时内排除问题或给出备份解决方案，故障排除后三天内提交分析报告；</w:t>
            </w:r>
          </w:p>
          <w:p>
            <w:pPr>
              <w:rPr>
                <w:rFonts w:ascii="Times New Roman" w:hAnsi="Times New Roman"/>
                <w:color w:val="000000" w:themeColor="text1"/>
                <w:sz w:val="24"/>
                <w:szCs w:val="24"/>
                <w:highlight w:val="none"/>
              </w:rPr>
            </w:pPr>
            <w:r>
              <w:rPr>
                <w:rFonts w:ascii="Times New Roman" w:hAnsi="Times New Roman"/>
                <w:b/>
                <w:color w:val="000000" w:themeColor="text1"/>
                <w:sz w:val="24"/>
                <w:szCs w:val="24"/>
                <w:highlight w:val="none"/>
              </w:rPr>
              <w:t>二级响应：</w:t>
            </w:r>
            <w:r>
              <w:rPr>
                <w:rFonts w:ascii="Times New Roman" w:hAnsi="Times New Roman"/>
                <w:color w:val="000000" w:themeColor="text1"/>
                <w:sz w:val="24"/>
                <w:szCs w:val="24"/>
                <w:highlight w:val="none"/>
              </w:rPr>
              <w:t>系统的运行性能严重下降，或性能明显下降，对业务运作产生明显影响。响应时间1小时内，必要时2小时到达，8小时内排除问题；</w:t>
            </w:r>
          </w:p>
          <w:p>
            <w:pPr>
              <w:rPr>
                <w:rFonts w:ascii="Times New Roman" w:hAnsi="Times New Roman"/>
                <w:color w:val="000000" w:themeColor="text1"/>
                <w:sz w:val="24"/>
                <w:szCs w:val="24"/>
                <w:highlight w:val="none"/>
              </w:rPr>
            </w:pPr>
            <w:r>
              <w:rPr>
                <w:rFonts w:ascii="Times New Roman" w:hAnsi="Times New Roman"/>
                <w:b/>
                <w:color w:val="000000" w:themeColor="text1"/>
                <w:sz w:val="24"/>
                <w:szCs w:val="24"/>
                <w:highlight w:val="none"/>
              </w:rPr>
              <w:t>三级响应</w:t>
            </w:r>
            <w:r>
              <w:rPr>
                <w:rFonts w:ascii="Times New Roman" w:hAnsi="Times New Roman"/>
                <w:color w:val="000000" w:themeColor="text1"/>
                <w:sz w:val="24"/>
                <w:szCs w:val="24"/>
                <w:highlight w:val="none"/>
              </w:rPr>
              <w:t>：系统的运作性能受损，但业务仍可正常运行，响应时间12小时内，必要时24小时到达，1周内排除问题；</w:t>
            </w:r>
          </w:p>
          <w:p>
            <w:pPr>
              <w:rPr>
                <w:rFonts w:ascii="Times New Roman" w:hAnsi="Times New Roman"/>
                <w:color w:val="000000" w:themeColor="text1"/>
                <w:sz w:val="24"/>
                <w:szCs w:val="24"/>
                <w:highlight w:val="none"/>
              </w:rPr>
            </w:pPr>
            <w:r>
              <w:rPr>
                <w:rFonts w:ascii="Times New Roman" w:hAnsi="Times New Roman"/>
                <w:b/>
                <w:color w:val="000000" w:themeColor="text1"/>
                <w:sz w:val="24"/>
                <w:szCs w:val="24"/>
                <w:highlight w:val="none"/>
              </w:rPr>
              <w:t>四级响应：</w:t>
            </w:r>
            <w:r>
              <w:rPr>
                <w:rFonts w:ascii="Times New Roman" w:hAnsi="Times New Roman"/>
                <w:color w:val="000000" w:themeColor="text1"/>
                <w:sz w:val="24"/>
                <w:szCs w:val="24"/>
                <w:highlight w:val="none"/>
              </w:rPr>
              <w:t>对系统安装或配置方面需要咨询或支援，很显然对业务运作几乎无影响，或根本没有影响，响应时间24小时内，必要时48小时到达，2周内排除问题。</w:t>
            </w:r>
          </w:p>
        </w:tc>
      </w:tr>
    </w:tbl>
    <w:p>
      <w:pPr>
        <w:rPr>
          <w:rFonts w:ascii="Times New Roman" w:hAnsi="Times New Roman"/>
          <w:b/>
          <w:color w:val="000000" w:themeColor="text1"/>
          <w:sz w:val="24"/>
          <w:szCs w:val="24"/>
          <w:highlight w:val="none"/>
        </w:rPr>
      </w:pP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5. 问题管理流程</w:t>
      </w:r>
    </w:p>
    <w:p>
      <w:pPr>
        <w:outlineLvl w:val="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5.1. 问题处理流程</w:t>
      </w:r>
    </w:p>
    <w:p>
      <w:pPr>
        <w:pStyle w:val="285"/>
        <w:numPr>
          <w:ilvl w:val="0"/>
          <w:numId w:val="16"/>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银行或外包供应商均可以首先提出对问题解决方案有不同意见的看法；</w:t>
      </w:r>
    </w:p>
    <w:p>
      <w:pPr>
        <w:pStyle w:val="285"/>
        <w:numPr>
          <w:ilvl w:val="0"/>
          <w:numId w:val="16"/>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银行管理层和供应商管理层将决定问题是否需要提升到高的管理层；</w:t>
      </w:r>
    </w:p>
    <w:p>
      <w:pPr>
        <w:pStyle w:val="285"/>
        <w:numPr>
          <w:ilvl w:val="0"/>
          <w:numId w:val="16"/>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及时召开相关的会议讨论和解决问题，问题的相关文档应提前一天发送到与会者；</w:t>
      </w:r>
    </w:p>
    <w:p>
      <w:pPr>
        <w:pStyle w:val="285"/>
        <w:numPr>
          <w:ilvl w:val="0"/>
          <w:numId w:val="16"/>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如有必要，银行和外包供应商管理层在永久性解决方案出台之前可以先共同达成一套临时性的解决方案。外包供应商可以在会后与各利益相关方沟通并达成永久性的解决方案。</w:t>
      </w:r>
    </w:p>
    <w:p>
      <w:pPr>
        <w:pStyle w:val="285"/>
        <w:ind w:left="845" w:firstLine="0"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如果问题协商难以解决时，双方可向甲方所在地人民法院提出诉讼。</w:t>
      </w:r>
    </w:p>
    <w:p>
      <w:pPr>
        <w:outlineLvl w:val="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5.2 问题升级流程</w:t>
      </w:r>
    </w:p>
    <w:p>
      <w:pPr>
        <w:pStyle w:val="285"/>
        <w:numPr>
          <w:ilvl w:val="3"/>
          <w:numId w:val="17"/>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银行或者供应商都有可能首先提出该流程；</w:t>
      </w:r>
    </w:p>
    <w:p>
      <w:pPr>
        <w:pStyle w:val="285"/>
        <w:numPr>
          <w:ilvl w:val="3"/>
          <w:numId w:val="17"/>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首先提出的一方应及时通知对方问题升级流程已经启动；</w:t>
      </w:r>
    </w:p>
    <w:p>
      <w:pPr>
        <w:pStyle w:val="285"/>
        <w:numPr>
          <w:ilvl w:val="3"/>
          <w:numId w:val="17"/>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问题升级的层次在银行和供应商之间应当保持一致，直至解决该问题。</w:t>
      </w:r>
    </w:p>
    <w:p>
      <w:pPr>
        <w:outlineLvl w:val="0"/>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5.3 联络表</w:t>
      </w:r>
    </w:p>
    <w:tbl>
      <w:tblPr>
        <w:tblStyle w:val="5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0"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外包人员</w:t>
            </w: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职务</w:t>
            </w: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0" w:type="dxa"/>
            <w:vAlign w:val="center"/>
          </w:tcPr>
          <w:p>
            <w:pPr>
              <w:jc w:val="center"/>
              <w:rPr>
                <w:rFonts w:ascii="Times New Roman" w:hAnsi="Times New Roman"/>
                <w:color w:val="000000" w:themeColor="text1"/>
                <w:sz w:val="24"/>
                <w:szCs w:val="24"/>
                <w:highlight w:val="none"/>
              </w:rPr>
            </w:pP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商务代表</w:t>
            </w:r>
          </w:p>
        </w:tc>
        <w:tc>
          <w:tcPr>
            <w:tcW w:w="2841" w:type="dxa"/>
            <w:vAlign w:val="center"/>
          </w:tcPr>
          <w:p>
            <w:pPr>
              <w:jc w:val="center"/>
              <w:rPr>
                <w:rFonts w:ascii="Times New Roman" w:hAnsi="Times New Roman"/>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0" w:type="dxa"/>
            <w:vAlign w:val="center"/>
          </w:tcPr>
          <w:p>
            <w:pPr>
              <w:jc w:val="center"/>
              <w:rPr>
                <w:rFonts w:ascii="Times New Roman" w:hAnsi="Times New Roman"/>
                <w:color w:val="000000" w:themeColor="text1"/>
                <w:sz w:val="24"/>
                <w:szCs w:val="24"/>
                <w:highlight w:val="none"/>
              </w:rPr>
            </w:pP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项目经理</w:t>
            </w:r>
          </w:p>
        </w:tc>
        <w:tc>
          <w:tcPr>
            <w:tcW w:w="2841" w:type="dxa"/>
            <w:vAlign w:val="center"/>
          </w:tcPr>
          <w:p>
            <w:pPr>
              <w:jc w:val="center"/>
              <w:rPr>
                <w:rFonts w:ascii="Times New Roman" w:hAnsi="Times New Roman"/>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40" w:type="dxa"/>
            <w:vAlign w:val="center"/>
          </w:tcPr>
          <w:p>
            <w:pPr>
              <w:jc w:val="center"/>
              <w:rPr>
                <w:rFonts w:ascii="Times New Roman" w:hAnsi="Times New Roman"/>
                <w:color w:val="000000" w:themeColor="text1"/>
                <w:sz w:val="24"/>
                <w:szCs w:val="24"/>
                <w:highlight w:val="none"/>
              </w:rPr>
            </w:pP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项目总监</w:t>
            </w:r>
          </w:p>
        </w:tc>
        <w:tc>
          <w:tcPr>
            <w:tcW w:w="2841" w:type="dxa"/>
            <w:vAlign w:val="center"/>
          </w:tcPr>
          <w:p>
            <w:pPr>
              <w:jc w:val="center"/>
              <w:rPr>
                <w:rFonts w:ascii="Times New Roman" w:hAnsi="Times New Roman"/>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jc w:val="center"/>
              <w:rPr>
                <w:rFonts w:ascii="Times New Roman" w:hAnsi="Times New Roman"/>
                <w:color w:val="000000" w:themeColor="text1"/>
                <w:sz w:val="24"/>
                <w:szCs w:val="24"/>
                <w:highlight w:val="none"/>
              </w:rPr>
            </w:pPr>
          </w:p>
        </w:tc>
        <w:tc>
          <w:tcPr>
            <w:tcW w:w="2841" w:type="dxa"/>
            <w:vAlign w:val="center"/>
          </w:tcPr>
          <w:p>
            <w:pPr>
              <w:jc w:val="cente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总经理</w:t>
            </w:r>
          </w:p>
        </w:tc>
        <w:tc>
          <w:tcPr>
            <w:tcW w:w="2841" w:type="dxa"/>
            <w:vAlign w:val="center"/>
          </w:tcPr>
          <w:p>
            <w:pPr>
              <w:jc w:val="center"/>
              <w:rPr>
                <w:rFonts w:ascii="Times New Roman" w:hAnsi="Times New Roman"/>
                <w:b/>
                <w:color w:val="000000" w:themeColor="text1"/>
                <w:sz w:val="24"/>
                <w:szCs w:val="24"/>
                <w:highlight w:val="none"/>
              </w:rPr>
            </w:pPr>
          </w:p>
        </w:tc>
      </w:tr>
    </w:tbl>
    <w:p>
      <w:pPr>
        <w:jc w:val="center"/>
        <w:rPr>
          <w:rFonts w:ascii="Times New Roman" w:hAnsi="Times New Roman"/>
          <w:b/>
          <w:color w:val="000000" w:themeColor="text1"/>
          <w:sz w:val="24"/>
          <w:szCs w:val="24"/>
          <w:highlight w:val="none"/>
        </w:rPr>
      </w:pP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6. 汇报流程</w:t>
      </w:r>
    </w:p>
    <w:p>
      <w:pPr>
        <w:ind w:firstLine="66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供应商管理层按照固定的报告格式在每月向银行提交SLA执行情况报告。报告将包括“实际情况和目标的对比”、对比结果不一致的分析以及针对重要问题的讨论。</w:t>
      </w:r>
    </w:p>
    <w:p>
      <w:pPr>
        <w:ind w:firstLine="66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另外，供应商应当在每月向银行提交工作报告，包括项目情况跟踪及问题报告等递交给银行项目管理人员。</w:t>
      </w: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7. 服务水平和指标</w:t>
      </w:r>
    </w:p>
    <w:p>
      <w:pPr>
        <w:rPr>
          <w:rFonts w:ascii="Times New Roman" w:hAnsi="Times New Roman"/>
          <w:color w:val="000000" w:themeColor="text1"/>
          <w:sz w:val="24"/>
          <w:szCs w:val="24"/>
          <w:highlight w:val="none"/>
        </w:rPr>
        <w:sectPr>
          <w:headerReference r:id="rId16" w:type="default"/>
          <w:pgSz w:w="11906" w:h="16838"/>
          <w:pgMar w:top="1440" w:right="1800" w:bottom="1440" w:left="1800" w:header="851" w:footer="992" w:gutter="0"/>
          <w:cols w:space="425" w:num="1"/>
          <w:docGrid w:type="lines" w:linePitch="312" w:charSpace="0"/>
        </w:sectPr>
      </w:pPr>
      <w:r>
        <w:rPr>
          <w:rFonts w:ascii="Times New Roman" w:hAnsi="Times New Roman"/>
          <w:color w:val="000000" w:themeColor="text1"/>
          <w:sz w:val="24"/>
          <w:szCs w:val="24"/>
          <w:highlight w:val="none"/>
        </w:rPr>
        <w:tab/>
      </w:r>
      <w:r>
        <w:rPr>
          <w:rFonts w:ascii="Times New Roman" w:hAnsi="Times New Roman"/>
          <w:color w:val="000000" w:themeColor="text1"/>
          <w:sz w:val="24"/>
          <w:szCs w:val="24"/>
          <w:highlight w:val="none"/>
        </w:rPr>
        <w:t>外包供应商（即乙方）提供的服务必须满足一下服务水平和指标要求，否则按每项罚则规定给予相应的金额扣罚。罚则中费用扣罚合计金额按主合同违约责任约定限定，如主合同未限定按累计不超过合同总价款的30%限定。扣罚金额以人民币计算，由甲方直接扣除合同款项。乙方签订本合同即认可其派驻的项目经理被赋予项目管理的签字权，其签字内容承担相应的违约责任。</w:t>
      </w:r>
    </w:p>
    <w:tbl>
      <w:tblPr>
        <w:tblStyle w:val="55"/>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2410"/>
        <w:gridCol w:w="3260"/>
        <w:gridCol w:w="2127"/>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服务内容</w:t>
            </w:r>
          </w:p>
        </w:tc>
        <w:tc>
          <w:tcPr>
            <w:tcW w:w="1701"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服务定义</w:t>
            </w:r>
          </w:p>
        </w:tc>
        <w:tc>
          <w:tcPr>
            <w:tcW w:w="241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w:t>
            </w:r>
          </w:p>
        </w:tc>
        <w:tc>
          <w:tcPr>
            <w:tcW w:w="326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服务标准计算</w:t>
            </w:r>
          </w:p>
        </w:tc>
        <w:tc>
          <w:tcPr>
            <w:tcW w:w="212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操作流程</w:t>
            </w:r>
          </w:p>
        </w:tc>
        <w:tc>
          <w:tcPr>
            <w:tcW w:w="1984"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建议达到的标准</w:t>
            </w:r>
          </w:p>
        </w:tc>
        <w:tc>
          <w:tcPr>
            <w:tcW w:w="2268"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任务需求响应</w:t>
            </w:r>
          </w:p>
        </w:tc>
        <w:tc>
          <w:tcPr>
            <w:tcW w:w="1701"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衡量外包供应商在需求响应方面的能力</w:t>
            </w:r>
          </w:p>
        </w:tc>
        <w:tc>
          <w:tcPr>
            <w:tcW w:w="241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供应商必须在双方</w:t>
            </w:r>
            <w:r>
              <w:rPr>
                <w:rFonts w:hint="eastAsia" w:ascii="Times New Roman" w:hAnsi="Times New Roman"/>
                <w:color w:val="000000" w:themeColor="text1"/>
                <w:sz w:val="24"/>
                <w:szCs w:val="24"/>
                <w:highlight w:val="none"/>
              </w:rPr>
              <w:t>一致同意的时段内针对任务需求执行下列操作：</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1.供应商在一个工作日内，向任务需求提出者确认已收到该任务的需求</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2.供应商需在收到需求后两个工作日内安排指定的资源</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需求响应时间 = 恢复日 - 需求提出日</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资源指派时间 = 指派日</w:t>
            </w:r>
            <w:r>
              <w:rPr>
                <w:rFonts w:ascii="Times New Roman" w:hAnsi="Times New Roman"/>
                <w:color w:val="000000" w:themeColor="text1"/>
                <w:sz w:val="24"/>
                <w:szCs w:val="24"/>
                <w:highlight w:val="none"/>
              </w:rPr>
              <w:t>–</w:t>
            </w:r>
            <w:r>
              <w:rPr>
                <w:rFonts w:hint="eastAsia" w:ascii="Times New Roman" w:hAnsi="Times New Roman"/>
                <w:color w:val="000000" w:themeColor="text1"/>
                <w:sz w:val="24"/>
                <w:szCs w:val="24"/>
                <w:highlight w:val="none"/>
              </w:rPr>
              <w:t>需求提出日</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需求响应执行率 = （在一个工作日内响应需求的次数 / 总的需求提出次数）* 100%</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资源指派执行率 = （在两个工作日内完成指派的次数 / 总的需求提出次数）* 100%</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1、项目组应当在任务需求提出单上注明提出时间，以此作为“提出日”，供应商应当向项目组发出一个确认信息。</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2、工作指派确认单上的时间为“指派日”</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需求响应执行率=100%</w:t>
            </w:r>
          </w:p>
          <w:p>
            <w:pPr>
              <w:rPr>
                <w:rFonts w:ascii="Times New Roman" w:hAnsi="Times New Roman"/>
                <w:color w:val="000000" w:themeColor="text1"/>
                <w:sz w:val="24"/>
                <w:szCs w:val="24"/>
                <w:highlight w:val="none"/>
              </w:rPr>
            </w:pP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资源指派执行率=100%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需求响应执行率每低于标准5%，扣罚合同金额0.1%；</w:t>
            </w:r>
          </w:p>
          <w:p>
            <w:pPr>
              <w:rPr>
                <w:rFonts w:ascii="Times New Roman" w:hAnsi="Times New Roman"/>
                <w:color w:val="000000" w:themeColor="text1"/>
                <w:sz w:val="24"/>
                <w:szCs w:val="24"/>
                <w:highlight w:val="none"/>
              </w:rPr>
            </w:pP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资源指派执行率每低于标准5%，扣罚合同金额0.1%；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任务启动响应</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根据项目组与供应商达成的一致任务启动时间，衡量任务启动的及时率</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供应商应根据与项目组达成一致的起始工作时间1个工作日内开始工作</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启动工作准时率 = （总的任务启动次数</w:t>
            </w:r>
            <w:r>
              <w:rPr>
                <w:rFonts w:ascii="Times New Roman" w:hAnsi="Times New Roman"/>
                <w:color w:val="000000" w:themeColor="text1"/>
                <w:sz w:val="24"/>
                <w:szCs w:val="24"/>
                <w:highlight w:val="none"/>
              </w:rPr>
              <w:t>–</w:t>
            </w:r>
            <w:r>
              <w:rPr>
                <w:rFonts w:hint="eastAsia" w:ascii="Times New Roman" w:hAnsi="Times New Roman"/>
                <w:color w:val="000000" w:themeColor="text1"/>
                <w:sz w:val="24"/>
                <w:szCs w:val="24"/>
                <w:highlight w:val="none"/>
              </w:rPr>
              <w:t>任务推迟的此时）/ 总的任务启动次数 * 100%</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项目经理对任务启动需求进行统一的管理，任务启动需求应当包含和供应商达成一致的启动时间。</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启动工作准时率≥95%</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启动工作准时率每低于标准5%，扣罚合同金额0.1%；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任务完成情况</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根据SOW的要求，衡量供应商完成任务的及时率</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供应商应在双方确认的时间内完成任务</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任务完成及时率 = （规定时间内完成任务的次数 / 总任务书）*100%</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项目经理应当标识出每一项任务完成的具体时间</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任务完成及时率≥95%</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任务完成及时率每低于标准5%，扣罚合同金额0.1%；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人员纪律性</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衡量供应商外包人员是否遵守银行的日常规章和操作规范</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外包人员不得违反银行的各项规章制度和操作规范</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外包人员违规次数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项目组根据自身检查及其他管理部门和处室的检查结果为依据统计外包人员违规次数</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每一份违规报告都要得到外包人员的确认</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外包人员违规次数＜1次</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外包人员违规次数每多一次，扣罚外包单位金额人民币500元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外包人员异常退出</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衡量供应商外包人员是否提供持续服务</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外包单位外包人员辞职和离职；</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外包单位外包人员无计划的调离项目组，并未经银行人员同意；</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退出项目的外包人员次数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项目经理应当标识出具体外包人员退出的具体时间和原因</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外包人员异常退出次数＜1次</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外包人员异常退出次数每多一次，扣罚供应商金额人民币10000元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服务内容</w:t>
            </w:r>
          </w:p>
        </w:tc>
        <w:tc>
          <w:tcPr>
            <w:tcW w:w="1701"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服务定义</w:t>
            </w:r>
          </w:p>
        </w:tc>
        <w:tc>
          <w:tcPr>
            <w:tcW w:w="241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w:t>
            </w:r>
          </w:p>
        </w:tc>
        <w:tc>
          <w:tcPr>
            <w:tcW w:w="326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服务标准计算</w:t>
            </w:r>
          </w:p>
        </w:tc>
        <w:tc>
          <w:tcPr>
            <w:tcW w:w="212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操作流程</w:t>
            </w:r>
          </w:p>
        </w:tc>
        <w:tc>
          <w:tcPr>
            <w:tcW w:w="1984"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建议达到的标准</w:t>
            </w:r>
          </w:p>
        </w:tc>
        <w:tc>
          <w:tcPr>
            <w:tcW w:w="2268"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响应及时性</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衡量供应商问题响应服务</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外包单位服务及问题响应不及时，未达到银行约定要求</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未按银行响应要求次数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项目经理应当标识出每一项未按银行响应要求具体时间和原因</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供应商不按响应要求次数＜1次</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响应及时率每低于标准5%，扣罚合同金额0.1%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外包人员变动率</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衡量服务商外包人员服务的稳定性</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项目外包人员变动</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项目外包人员变动人数/ 项目外包人员人数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项目经理应当标识出具体外包人员变动的具体时间和原因</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外包人员变动率＜30%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外包人员变动率每低于标准5%，扣罚合同金额0.1%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产品交货及时率</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衡量硬件或软件产品交付服务</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约束在规定时限内到货并交付</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约定交货时限/ 实际交货时限</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记录并比对合同约定交货时限与实际交货时间</w:t>
            </w:r>
          </w:p>
        </w:tc>
        <w:tc>
          <w:tcPr>
            <w:tcW w:w="1984"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产品交货及时率</w:t>
            </w:r>
            <w:r>
              <w:rPr>
                <w:rFonts w:hint="eastAsia" w:ascii="Times New Roman" w:hAnsi="Times New Roman"/>
                <w:color w:val="000000" w:themeColor="text1"/>
                <w:sz w:val="24"/>
                <w:szCs w:val="24"/>
                <w:highlight w:val="none"/>
              </w:rPr>
              <w:t>≥100%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及时率低于100%，每降低10%扣罚合同金额5%，超过50%以上的扣罚合同金额50%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人力资源投入</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衡量供应商派遣外包人员的符合度</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外包人员按计划和数量投入</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人数差异 = 承诺人数 - 实际人数</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人员一致率 = 差异人数 / 承诺人数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项目经理按合同或标书要求判定外包人员投入情况</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外包人员数量差异＜0，并且人员一致率＜20%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一次性处罚最高不超过合同金额的10%，有权追回支付款项，要求赔偿损失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项目延期</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衡量项目进度</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外包商导致的项目进度偏差</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进度偏差天数</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项目经理按项目计划为基准计算进度偏差天数</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进度偏差率＜20%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每天按照合同金额的千分之一罚款，计划延期30%并且延期3个月以上的，罚款合同款项的10%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外包人员安全行为</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控制外包操作风险</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危害银行生产运行安全、数据安全并造成后果的外包安全事件，包括破坏测试环境数据，在生产运营系统上违反规定进行数据操作或在实施过程中留下信息系统后门等行为</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外包安全事件</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根据危害程度处罚</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外包安全事件 = 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每次处罚至少500元，并要求赔偿实际损失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UAT</w:t>
            </w:r>
            <w:r>
              <w:rPr>
                <w:rFonts w:ascii="Times New Roman" w:hAnsi="Times New Roman"/>
                <w:color w:val="000000" w:themeColor="text1"/>
                <w:sz w:val="24"/>
                <w:szCs w:val="24"/>
                <w:highlight w:val="none"/>
              </w:rPr>
              <w:t>测试质量</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控制项目集成测试交付质量</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用户确定测试缺陷数</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因程序质量原因产生的UAT测试问题数不应多于系统集成测试问题数的20%</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项目经理比对UAT测试问题数量和厂商集成测试报告问题数量</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UAT测试问题总数应小于系统集成测试问题总数</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若超过20%，则每增加一个百分点扣减合同金额的千分之三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服务内容</w:t>
            </w:r>
          </w:p>
        </w:tc>
        <w:tc>
          <w:tcPr>
            <w:tcW w:w="1701"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服务定义</w:t>
            </w:r>
          </w:p>
        </w:tc>
        <w:tc>
          <w:tcPr>
            <w:tcW w:w="241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w:t>
            </w:r>
          </w:p>
        </w:tc>
        <w:tc>
          <w:tcPr>
            <w:tcW w:w="3260"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服务标准计算</w:t>
            </w:r>
          </w:p>
        </w:tc>
        <w:tc>
          <w:tcPr>
            <w:tcW w:w="2127"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操作流程</w:t>
            </w:r>
          </w:p>
        </w:tc>
        <w:tc>
          <w:tcPr>
            <w:tcW w:w="1984"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建议达到的标准</w:t>
            </w:r>
          </w:p>
        </w:tc>
        <w:tc>
          <w:tcPr>
            <w:tcW w:w="2268"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上线运行</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衡量系统上线运行的稳定性</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系统上线后不能发生重大质量缺陷，遗留问题或生产缺陷解决的及时性</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生产缺陷程度和数量；</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缺陷解决的及时性</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项目经理根据系统上线运行的缺陷及其解决处理情况</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重大质量缺陷＜2；</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生产缺陷解决及时率 = 100%</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系统上线后发生重大质量缺陷3次以上或生产缺陷不能得到及时解决，扣除尾款50%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服务满意度</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衡量银行内部人员对供应商所提供服务的满意情况</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服务满意度问卷在4级以上（含4级）的指标比率不低于70%</w:t>
            </w:r>
          </w:p>
        </w:tc>
        <w:tc>
          <w:tcPr>
            <w:tcW w:w="3260" w:type="dxa"/>
            <w:vAlign w:val="center"/>
          </w:tcPr>
          <w:p>
            <w:pPr>
              <w:pStyle w:val="285"/>
              <w:numPr>
                <w:ilvl w:val="0"/>
                <w:numId w:val="18"/>
              </w:numPr>
              <w:ind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满意度4级以上指标比率 = （被评为4级以上满意度的服务指标/ 满意度评价指标总数）*100%；</w:t>
            </w:r>
          </w:p>
          <w:p>
            <w:pPr>
              <w:pStyle w:val="285"/>
              <w:numPr>
                <w:ilvl w:val="0"/>
                <w:numId w:val="18"/>
              </w:numPr>
              <w:ind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客户满意度级别为：</w:t>
            </w:r>
          </w:p>
          <w:p>
            <w:pPr>
              <w:pStyle w:val="285"/>
              <w:ind w:left="420" w:firstLine="0"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1级（非常不满意）；</w:t>
            </w:r>
          </w:p>
          <w:p>
            <w:pPr>
              <w:pStyle w:val="285"/>
              <w:ind w:left="420" w:firstLine="0"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3级（不满意）；</w:t>
            </w:r>
          </w:p>
          <w:p>
            <w:pPr>
              <w:pStyle w:val="285"/>
              <w:ind w:left="420" w:firstLine="0"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3级（一般满意）；</w:t>
            </w:r>
          </w:p>
          <w:p>
            <w:pPr>
              <w:pStyle w:val="285"/>
              <w:ind w:left="420" w:firstLine="0"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4级（满意）；</w:t>
            </w:r>
          </w:p>
          <w:p>
            <w:pPr>
              <w:pStyle w:val="285"/>
              <w:ind w:left="420" w:firstLine="0"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5级（非常满意）</w:t>
            </w:r>
          </w:p>
        </w:tc>
        <w:tc>
          <w:tcPr>
            <w:tcW w:w="2127" w:type="dxa"/>
            <w:vAlign w:val="center"/>
          </w:tcPr>
          <w:p>
            <w:pPr>
              <w:pStyle w:val="285"/>
              <w:numPr>
                <w:ilvl w:val="0"/>
                <w:numId w:val="18"/>
              </w:numPr>
              <w:ind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外包管理部门定期组织开展一次满意度调查；</w:t>
            </w:r>
          </w:p>
          <w:p>
            <w:pPr>
              <w:pStyle w:val="285"/>
              <w:numPr>
                <w:ilvl w:val="0"/>
                <w:numId w:val="18"/>
              </w:numPr>
              <w:ind w:firstLineChars="0"/>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外包管理部门根据收集的满意度调查报告进行满意度4级以上指标比率计算</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参见服务标准</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未达服务标准，直接扣罚合同金额的0.1%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9" w:type="dxa"/>
            <w:vAlign w:val="center"/>
          </w:tcPr>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SLA满足率</w:t>
            </w:r>
          </w:p>
        </w:tc>
        <w:tc>
          <w:tcPr>
            <w:tcW w:w="1701"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此数据是衡量满足要求的SLA个数与整体SLA个数的百分之整体的比率</w:t>
            </w:r>
          </w:p>
        </w:tc>
        <w:tc>
          <w:tcPr>
            <w:tcW w:w="241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衡量供应商达到要求的SLA占全部SLA的百分比</w:t>
            </w:r>
          </w:p>
        </w:tc>
        <w:tc>
          <w:tcPr>
            <w:tcW w:w="3260"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SLA满足率 = （满足SLA的个数/ 总体SLA的个数）*100%</w:t>
            </w:r>
          </w:p>
        </w:tc>
        <w:tc>
          <w:tcPr>
            <w:tcW w:w="2127"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为了这个度量报告，需要持续汇报SOW中所有SLA情况</w:t>
            </w:r>
          </w:p>
        </w:tc>
        <w:tc>
          <w:tcPr>
            <w:tcW w:w="1984"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SLA满足率≥95%</w:t>
            </w:r>
          </w:p>
        </w:tc>
        <w:tc>
          <w:tcPr>
            <w:tcW w:w="2268" w:type="dxa"/>
            <w:vAlign w:val="center"/>
          </w:tcPr>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SLA满足率每低于标准5%，扣罚合同金额0.1%；</w:t>
            </w:r>
          </w:p>
        </w:tc>
      </w:tr>
    </w:tbl>
    <w:p>
      <w:pPr>
        <w:rPr>
          <w:color w:val="000000" w:themeColor="text1"/>
          <w:sz w:val="24"/>
          <w:szCs w:val="24"/>
          <w:highlight w:val="none"/>
        </w:rPr>
        <w:sectPr>
          <w:footerReference r:id="rId17" w:type="default"/>
          <w:pgSz w:w="16838" w:h="11906" w:orient="landscape"/>
          <w:pgMar w:top="720" w:right="720" w:bottom="720" w:left="720" w:header="851" w:footer="992" w:gutter="0"/>
          <w:cols w:space="425" w:num="1"/>
          <w:docGrid w:type="lines" w:linePitch="312" w:charSpace="0"/>
        </w:sectPr>
      </w:pP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8. SLA变更</w:t>
      </w:r>
    </w:p>
    <w:p>
      <w:pPr>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SLA可以根据银行在项目过程中的实际需求进行变更，本章定义了以下变更管理流程：</w:t>
      </w:r>
    </w:p>
    <w:p>
      <w:pPr>
        <w:pStyle w:val="285"/>
        <w:numPr>
          <w:ilvl w:val="0"/>
          <w:numId w:val="19"/>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银行和供应商双方应至少没半年对SLA协议进行一次回顾。任何一方都可根据本协议提出修订要求，SLA的变更可以通过谈判的形式在月度例会上进行讨论。对无法达成一致观点的问题可以通过本协议第5章提到的问题处理流程和问题升级流程来进行解决。</w:t>
      </w:r>
    </w:p>
    <w:p>
      <w:pPr>
        <w:pStyle w:val="285"/>
        <w:numPr>
          <w:ilvl w:val="0"/>
          <w:numId w:val="19"/>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如果出现以下条件的SLA变更时，银行和供应商双方将需要重新签订一套新的SLA，条件包括：</w:t>
      </w:r>
    </w:p>
    <w:p>
      <w:pPr>
        <w:pStyle w:val="285"/>
        <w:numPr>
          <w:ilvl w:val="0"/>
          <w:numId w:val="20"/>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协议执行的时间需要增加一年以上</w:t>
      </w:r>
    </w:p>
    <w:p>
      <w:pPr>
        <w:pStyle w:val="285"/>
        <w:numPr>
          <w:ilvl w:val="0"/>
          <w:numId w:val="20"/>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SLA的服务范围在本协议基础上扩大了40%以上</w:t>
      </w:r>
    </w:p>
    <w:p>
      <w:pPr>
        <w:pStyle w:val="285"/>
        <w:numPr>
          <w:ilvl w:val="0"/>
          <w:numId w:val="20"/>
        </w:numPr>
        <w:ind w:firstLineChars="0"/>
        <w:rPr>
          <w:rFonts w:ascii="Times New Roman" w:hAnsi="Times New Roman"/>
          <w:color w:val="000000" w:themeColor="text1"/>
          <w:sz w:val="24"/>
          <w:szCs w:val="24"/>
          <w:highlight w:val="none"/>
        </w:rPr>
      </w:pPr>
      <w:r>
        <w:rPr>
          <w:rFonts w:ascii="Times New Roman" w:hAnsi="Times New Roman"/>
          <w:color w:val="000000" w:themeColor="text1"/>
          <w:sz w:val="24"/>
          <w:szCs w:val="24"/>
          <w:highlight w:val="none"/>
        </w:rPr>
        <w:t>或其他有银行和供应商协商一致的重大变更</w:t>
      </w:r>
    </w:p>
    <w:p>
      <w:pPr>
        <w:rPr>
          <w:rFonts w:ascii="Times New Roman" w:hAnsi="Times New Roman"/>
          <w:b/>
          <w:color w:val="000000" w:themeColor="text1"/>
          <w:sz w:val="24"/>
          <w:szCs w:val="24"/>
          <w:highlight w:val="none"/>
        </w:rPr>
      </w:pPr>
      <w:r>
        <w:rPr>
          <w:rFonts w:ascii="Times New Roman" w:hAnsi="Times New Roman"/>
          <w:b/>
          <w:color w:val="000000" w:themeColor="text1"/>
          <w:sz w:val="24"/>
          <w:szCs w:val="24"/>
          <w:highlight w:val="none"/>
        </w:rPr>
        <w:t>9. 附则</w:t>
      </w:r>
    </w:p>
    <w:p>
      <w:pPr>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本协议随项目主合同一同生效。</w:t>
      </w:r>
    </w:p>
    <w:p>
      <w:pPr>
        <w:rPr>
          <w:rFonts w:ascii="Times New Roman" w:hAnsi="Times New Roman"/>
          <w:color w:val="000000" w:themeColor="text1"/>
          <w:sz w:val="32"/>
          <w:szCs w:val="28"/>
          <w:highlight w:val="none"/>
        </w:rPr>
      </w:pPr>
    </w:p>
    <w:p>
      <w:pPr>
        <w:rPr>
          <w:rFonts w:ascii="Times New Roman" w:hAnsi="Times New Roman"/>
          <w:color w:val="000000" w:themeColor="text1"/>
          <w:sz w:val="32"/>
          <w:szCs w:val="28"/>
          <w:highlight w:val="none"/>
        </w:rPr>
      </w:pPr>
    </w:p>
    <w:p>
      <w:pPr>
        <w:outlineLvl w:val="0"/>
        <w:rPr>
          <w:rFonts w:ascii="黑体" w:hAnsi="黑体" w:eastAsia="黑体"/>
          <w:color w:val="000000" w:themeColor="text1"/>
          <w:sz w:val="24"/>
          <w:szCs w:val="24"/>
          <w:highlight w:val="none"/>
        </w:rPr>
      </w:pPr>
      <w:r>
        <w:rPr>
          <w:rFonts w:hint="eastAsia" w:ascii="黑体" w:hAnsi="黑体" w:eastAsia="黑体"/>
          <w:color w:val="000000" w:themeColor="text1"/>
          <w:sz w:val="24"/>
          <w:szCs w:val="24"/>
          <w:highlight w:val="none"/>
        </w:rPr>
        <w:t>附件3：</w:t>
      </w:r>
    </w:p>
    <w:p>
      <w:pPr>
        <w:jc w:val="center"/>
        <w:outlineLvl w:val="0"/>
        <w:rPr>
          <w:rFonts w:ascii="黑体" w:hAnsi="黑体" w:eastAsia="黑体"/>
          <w:color w:val="000000" w:themeColor="text1"/>
          <w:sz w:val="24"/>
          <w:szCs w:val="24"/>
          <w:highlight w:val="none"/>
        </w:rPr>
      </w:pPr>
      <w:r>
        <w:rPr>
          <w:rFonts w:hint="eastAsia" w:ascii="黑体" w:hAnsi="黑体" w:eastAsia="黑体"/>
          <w:color w:val="000000" w:themeColor="text1"/>
          <w:sz w:val="24"/>
          <w:szCs w:val="24"/>
          <w:highlight w:val="none"/>
        </w:rPr>
        <w:t>IT外包活动个人承诺书</w:t>
      </w:r>
    </w:p>
    <w:p>
      <w:pPr>
        <w:rPr>
          <w:color w:val="000000" w:themeColor="text1"/>
          <w:sz w:val="24"/>
          <w:szCs w:val="24"/>
          <w:highlight w:val="none"/>
        </w:rPr>
      </w:pPr>
    </w:p>
    <w:p>
      <w:pPr>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重庆银行股份有限公司：</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本人系公司外派贵行项目提供外包服务的IT人员，对参与贵行该外包项目过程中接触到的包括但不限于涉及需求、设计、算法、源代码、业务流程、管理理念、文档资料和客户敏感信息等内容负有单方保密责任。客户敏感信息指：1、</w:t>
      </w:r>
      <w:r>
        <w:rPr>
          <w:rFonts w:ascii="仿宋_GB2312" w:hAnsi="仿宋" w:eastAsia="仿宋_GB2312"/>
          <w:color w:val="000000" w:themeColor="text1"/>
          <w:sz w:val="24"/>
          <w:szCs w:val="24"/>
          <w:highlight w:val="none"/>
        </w:rPr>
        <w:t>数据文档可在</w:t>
      </w:r>
      <w:r>
        <w:rPr>
          <w:rFonts w:hint="eastAsia" w:ascii="仿宋_GB2312" w:hAnsi="仿宋" w:eastAsia="仿宋_GB2312"/>
          <w:color w:val="000000" w:themeColor="text1"/>
          <w:sz w:val="24"/>
          <w:szCs w:val="24"/>
          <w:highlight w:val="none"/>
        </w:rPr>
        <w:t>行方</w:t>
      </w:r>
      <w:r>
        <w:rPr>
          <w:rFonts w:ascii="仿宋_GB2312" w:hAnsi="仿宋" w:eastAsia="仿宋_GB2312"/>
          <w:color w:val="000000" w:themeColor="text1"/>
          <w:sz w:val="24"/>
          <w:szCs w:val="24"/>
          <w:highlight w:val="none"/>
        </w:rPr>
        <w:t>内部或某一部门内部公开</w:t>
      </w:r>
      <w:r>
        <w:rPr>
          <w:rFonts w:hint="eastAsia" w:ascii="仿宋_GB2312" w:hAnsi="仿宋" w:eastAsia="仿宋_GB2312"/>
          <w:color w:val="000000" w:themeColor="text1"/>
          <w:sz w:val="24"/>
          <w:szCs w:val="24"/>
          <w:highlight w:val="none"/>
        </w:rPr>
        <w:t>，</w:t>
      </w:r>
      <w:r>
        <w:rPr>
          <w:rFonts w:ascii="仿宋_GB2312" w:hAnsi="仿宋" w:eastAsia="仿宋_GB2312"/>
          <w:color w:val="000000" w:themeColor="text1"/>
          <w:sz w:val="24"/>
          <w:szCs w:val="24"/>
          <w:highlight w:val="none"/>
        </w:rPr>
        <w:t>如本行规章制度、业务统计数据等</w:t>
      </w:r>
      <w:r>
        <w:rPr>
          <w:rFonts w:hint="eastAsia" w:ascii="仿宋_GB2312" w:hAnsi="仿宋" w:eastAsia="仿宋_GB2312"/>
          <w:color w:val="000000" w:themeColor="text1"/>
          <w:sz w:val="24"/>
          <w:szCs w:val="24"/>
          <w:highlight w:val="none"/>
        </w:rPr>
        <w:t>；2、</w:t>
      </w:r>
      <w:r>
        <w:rPr>
          <w:rFonts w:ascii="仿宋_GB2312" w:hAnsi="仿宋" w:eastAsia="仿宋_GB2312"/>
          <w:color w:val="000000" w:themeColor="text1"/>
          <w:sz w:val="24"/>
          <w:szCs w:val="24"/>
          <w:highlight w:val="none"/>
        </w:rPr>
        <w:t>数据文档只能由少数人员接触</w:t>
      </w:r>
      <w:r>
        <w:rPr>
          <w:rFonts w:hint="eastAsia" w:ascii="仿宋_GB2312" w:hAnsi="仿宋" w:eastAsia="仿宋_GB2312"/>
          <w:color w:val="000000" w:themeColor="text1"/>
          <w:sz w:val="24"/>
          <w:szCs w:val="24"/>
          <w:highlight w:val="none"/>
        </w:rPr>
        <w:t>，</w:t>
      </w:r>
      <w:r>
        <w:rPr>
          <w:rFonts w:ascii="仿宋_GB2312" w:hAnsi="仿宋" w:eastAsia="仿宋_GB2312"/>
          <w:color w:val="000000" w:themeColor="text1"/>
          <w:sz w:val="24"/>
          <w:szCs w:val="24"/>
          <w:highlight w:val="none"/>
        </w:rPr>
        <w:t>如客户基本信息、员工基本信息、账户交易信息、本行尚未公布的财务信息等；</w:t>
      </w:r>
      <w:r>
        <w:rPr>
          <w:rFonts w:hint="eastAsia" w:ascii="仿宋_GB2312" w:hAnsi="仿宋" w:eastAsia="仿宋_GB2312"/>
          <w:color w:val="000000" w:themeColor="text1"/>
          <w:sz w:val="24"/>
          <w:szCs w:val="24"/>
          <w:highlight w:val="none"/>
        </w:rPr>
        <w:t>3、</w:t>
      </w:r>
      <w:r>
        <w:rPr>
          <w:rFonts w:ascii="仿宋_GB2312" w:hAnsi="仿宋" w:eastAsia="仿宋_GB2312"/>
          <w:color w:val="000000" w:themeColor="text1"/>
          <w:sz w:val="24"/>
          <w:szCs w:val="24"/>
          <w:highlight w:val="none"/>
        </w:rPr>
        <w:t>数据文档只能由专人管理</w:t>
      </w:r>
      <w:r>
        <w:rPr>
          <w:rFonts w:hint="eastAsia" w:ascii="仿宋_GB2312" w:hAnsi="仿宋" w:eastAsia="仿宋_GB2312"/>
          <w:color w:val="000000" w:themeColor="text1"/>
          <w:sz w:val="24"/>
          <w:szCs w:val="24"/>
          <w:highlight w:val="none"/>
        </w:rPr>
        <w:t>，</w:t>
      </w:r>
      <w:r>
        <w:rPr>
          <w:rFonts w:ascii="仿宋_GB2312" w:hAnsi="仿宋" w:eastAsia="仿宋_GB2312"/>
          <w:color w:val="000000" w:themeColor="text1"/>
          <w:sz w:val="24"/>
          <w:szCs w:val="24"/>
          <w:highlight w:val="none"/>
        </w:rPr>
        <w:t>包括系统管理密码、系统加密密钥、数字证书等</w:t>
      </w:r>
      <w:r>
        <w:rPr>
          <w:rFonts w:hint="eastAsia" w:ascii="仿宋_GB2312" w:hAnsi="仿宋" w:eastAsia="仿宋_GB2312"/>
          <w:color w:val="000000" w:themeColor="text1"/>
          <w:sz w:val="24"/>
          <w:szCs w:val="24"/>
          <w:highlight w:val="none"/>
        </w:rPr>
        <w:t>，作为参加该项目的前提，我承诺如下：</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一、不得向第三方或所在公司非项目组成员泄露任何接触到的包括但不限于涉及需求、设计、算法、源代码、业务流程、管理理念、文档资料和客户敏感信息等内容。</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二、遵守行业道德规范以及所在公司与贵行签订的外包合同中的保密条款。</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三、自保密信息披露时起，至该信息成为公开信息前，本人均应按本协议之约定承担保密义务。</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四、若本人违反保密承诺，应就其每一次的违约行为向贵行支付人民币X万元违约金，如果本人违约造成的甲方实际损失大于该违约金的，则本人愿意向贵行赔偿违约金与贵行损失之间的差额。</w:t>
      </w:r>
    </w:p>
    <w:p>
      <w:pPr>
        <w:ind w:firstLine="600"/>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由此产生的一切法律后果，本人愿意承担相关的法律责任。</w:t>
      </w:r>
    </w:p>
    <w:p>
      <w:pPr>
        <w:ind w:firstLine="600"/>
        <w:rPr>
          <w:rFonts w:ascii="仿宋_GB2312" w:hAnsi="仿宋" w:eastAsia="仿宋_GB2312"/>
          <w:color w:val="000000" w:themeColor="text1"/>
          <w:sz w:val="24"/>
          <w:szCs w:val="24"/>
          <w:highlight w:val="none"/>
        </w:rPr>
      </w:pPr>
    </w:p>
    <w:p>
      <w:pPr>
        <w:ind w:firstLine="600"/>
        <w:rPr>
          <w:rFonts w:ascii="仿宋_GB2312" w:hAnsi="仿宋" w:eastAsia="仿宋_GB2312"/>
          <w:color w:val="000000" w:themeColor="text1"/>
          <w:sz w:val="24"/>
          <w:szCs w:val="24"/>
          <w:highlight w:val="none"/>
        </w:rPr>
      </w:pPr>
    </w:p>
    <w:p>
      <w:pPr>
        <w:ind w:firstLine="600"/>
        <w:rPr>
          <w:rFonts w:ascii="仿宋_GB2312" w:hAnsi="仿宋" w:eastAsia="仿宋_GB2312"/>
          <w:color w:val="000000" w:themeColor="text1"/>
          <w:sz w:val="24"/>
          <w:szCs w:val="24"/>
          <w:highlight w:val="none"/>
        </w:rPr>
      </w:pPr>
    </w:p>
    <w:p>
      <w:pPr>
        <w:ind w:right="600" w:firstLine="600"/>
        <w:jc w:val="center"/>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 xml:space="preserve">                承诺人：</w:t>
      </w:r>
    </w:p>
    <w:p>
      <w:pPr>
        <w:ind w:right="1200" w:firstLine="600"/>
        <w:jc w:val="center"/>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 xml:space="preserve">                  身份证号：</w:t>
      </w:r>
    </w:p>
    <w:p>
      <w:pPr>
        <w:ind w:right="150" w:firstLine="600"/>
        <w:jc w:val="right"/>
        <w:rPr>
          <w:rFonts w:ascii="仿宋_GB2312" w:hAnsi="仿宋" w:eastAsia="仿宋_GB2312"/>
          <w:color w:val="000000" w:themeColor="text1"/>
          <w:sz w:val="24"/>
          <w:szCs w:val="24"/>
          <w:highlight w:val="none"/>
        </w:rPr>
      </w:pPr>
      <w:r>
        <w:rPr>
          <w:rFonts w:hint="eastAsia" w:ascii="仿宋_GB2312" w:hAnsi="仿宋" w:eastAsia="仿宋_GB2312"/>
          <w:color w:val="000000" w:themeColor="text1"/>
          <w:sz w:val="24"/>
          <w:szCs w:val="24"/>
          <w:highlight w:val="none"/>
        </w:rPr>
        <w:t>年  月  日</w:t>
      </w:r>
    </w:p>
    <w:p>
      <w:pPr>
        <w:spacing w:afterLines="50" w:line="400" w:lineRule="exact"/>
        <w:jc w:val="left"/>
        <w:rPr>
          <w:rFonts w:ascii="宋体" w:hAnsi="宋体"/>
          <w:b/>
          <w:color w:val="000000" w:themeColor="text1"/>
          <w:sz w:val="28"/>
          <w:szCs w:val="28"/>
          <w:highlight w:val="none"/>
        </w:rPr>
      </w:pPr>
      <w:r>
        <w:rPr>
          <w:rFonts w:hint="eastAsia" w:ascii="宋体" w:hAnsi="宋体"/>
          <w:b/>
          <w:color w:val="000000" w:themeColor="text1"/>
          <w:sz w:val="28"/>
          <w:szCs w:val="28"/>
          <w:highlight w:val="none"/>
        </w:rPr>
        <w:t>附件4</w:t>
      </w:r>
    </w:p>
    <w:p>
      <w:pPr>
        <w:rPr>
          <w:color w:val="000000" w:themeColor="text1"/>
          <w:highlight w:val="none"/>
        </w:rPr>
      </w:pPr>
    </w:p>
    <w:p>
      <w:pPr>
        <w:spacing w:line="360" w:lineRule="exact"/>
        <w:jc w:val="center"/>
        <w:rPr>
          <w:rFonts w:ascii="黑体" w:hAnsi="黑体" w:eastAsia="黑体"/>
          <w:bCs/>
          <w:color w:val="000000" w:themeColor="text1"/>
          <w:sz w:val="36"/>
          <w:szCs w:val="28"/>
          <w:highlight w:val="none"/>
        </w:rPr>
      </w:pPr>
      <w:r>
        <w:rPr>
          <w:rFonts w:hint="eastAsia" w:ascii="黑体" w:hAnsi="黑体" w:eastAsia="黑体"/>
          <w:bCs/>
          <w:color w:val="000000" w:themeColor="text1"/>
          <w:sz w:val="36"/>
          <w:szCs w:val="28"/>
          <w:highlight w:val="none"/>
        </w:rPr>
        <w:t>IT外包保密协议</w:t>
      </w:r>
    </w:p>
    <w:p>
      <w:pPr>
        <w:spacing w:line="360" w:lineRule="exact"/>
        <w:rPr>
          <w:rFonts w:ascii="仿宋" w:hAnsi="仿宋" w:eastAsia="仿宋"/>
          <w:color w:val="000000" w:themeColor="text1"/>
          <w:sz w:val="24"/>
          <w:szCs w:val="28"/>
          <w:highlight w:val="none"/>
        </w:rPr>
      </w:pPr>
    </w:p>
    <w:p>
      <w:pPr>
        <w:spacing w:line="360" w:lineRule="exac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甲方：重庆银行股份有限公司</w:t>
      </w:r>
    </w:p>
    <w:p>
      <w:pPr>
        <w:spacing w:line="360" w:lineRule="exac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乙方：</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鉴于甲乙双方准备就项目进行合作，在合作谈判和正式合作的过程中，甲方需向乙方提供有关保密信息，为明确双方的权利义务，确实保障保密信息提供方的权益，双方订立本保密协议。</w:t>
      </w: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一、保密信息的定义</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本保密协议所称“保密信息”是指乙方</w:t>
      </w:r>
      <w:r>
        <w:rPr>
          <w:rFonts w:hint="eastAsia" w:ascii="仿宋" w:hAnsi="仿宋" w:eastAsia="仿宋"/>
          <w:color w:val="000000" w:themeColor="text1"/>
          <w:sz w:val="24"/>
          <w:szCs w:val="24"/>
          <w:highlight w:val="none"/>
          <w:u w:val="single"/>
        </w:rPr>
        <w:t>因本项目而从甲方处获得的任何专属的或保密的信息和数据以及因本项目产生的任何信息和数据</w:t>
      </w:r>
      <w:r>
        <w:rPr>
          <w:rFonts w:hint="eastAsia" w:ascii="仿宋" w:hAnsi="仿宋" w:eastAsia="仿宋"/>
          <w:color w:val="000000" w:themeColor="text1"/>
          <w:sz w:val="24"/>
          <w:szCs w:val="24"/>
          <w:highlight w:val="none"/>
        </w:rPr>
        <w:t>，包括但不局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文件或材料。</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双方确认，甲方向乙方提供的信息不论以口头、书面或电子形式为载体，亦不论是否标明或说明为保密信息，均属本协议所指保密信息。双方认为，本协议的签署即视为对上述信息已采取保密措施。</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双方确认，本协议所指“保密信息”包括其中一方拥有的透露给另一方的第三方的保密信息。</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保密信息不包括接受方能够提出足够合理证据证明的下述信息、数据、文件或材料：1、在透露的时候，接受方已掌握的信息； 或2、在透露前或透露时，已成为公有的信息； 3、提供方书面同意对外公开的信息。</w:t>
      </w:r>
    </w:p>
    <w:p>
      <w:pPr>
        <w:spacing w:line="360" w:lineRule="exact"/>
        <w:rPr>
          <w:rFonts w:ascii="仿宋" w:hAnsi="仿宋" w:eastAsia="仿宋"/>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二、接受方的保密义务</w:t>
      </w:r>
    </w:p>
    <w:p>
      <w:pPr>
        <w:spacing w:line="360" w:lineRule="exact"/>
        <w:ind w:firstLine="42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1、乙方保证将所接受之保密信息仅用于与合作有关的目的或用途；且不得于合作结束后或于合作项目外的其他业务中使用接受的保密信息。</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2、在本合同实施过程中以及本合同履行完毕后，乙方均不得使用其获得的甲方的保密信息从事与甲方有竞争性的业务。</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或者本项目的存在。</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5、在项目结束后，乙方应将保密信息和资料交还给甲方，或按甲方的要求销毁。</w:t>
      </w:r>
    </w:p>
    <w:p>
      <w:pPr>
        <w:spacing w:line="360" w:lineRule="exact"/>
        <w:ind w:firstLine="480" w:firstLineChars="200"/>
        <w:rPr>
          <w:rFonts w:ascii="仿宋" w:hAnsi="仿宋" w:eastAsia="仿宋"/>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三、保密期限</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乙方对所接受之保密信息的保密期限：自保密信息披露时起（无论披露时间在本协议生效之前还是之后），至该信息成为公开信息前，乙方均应按本协议之约定承担保密义务。</w:t>
      </w:r>
    </w:p>
    <w:p>
      <w:pPr>
        <w:spacing w:line="360" w:lineRule="exact"/>
        <w:rPr>
          <w:rFonts w:ascii="仿宋" w:hAnsi="仿宋" w:eastAsia="仿宋"/>
          <w:b/>
          <w:bCs/>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四、违约责任</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若乙方违反本合同的约定，应就其每一次的违约行为向甲方支付人民币2万元违约金，如果乙方违约造成的甲方实际损失大于该违约金的，则乙方还应向甲方赔偿违约金与甲方损失之间的差额。</w:t>
      </w:r>
    </w:p>
    <w:p>
      <w:pPr>
        <w:spacing w:line="360" w:lineRule="exact"/>
        <w:rPr>
          <w:rFonts w:ascii="仿宋" w:hAnsi="仿宋" w:eastAsia="仿宋"/>
          <w:b/>
          <w:bCs/>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五、争议解决</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在合同履行过程中，凡因本合同引起的或与本合同有关的任何争议，双方应协商解决；协商不成的，应采用以下第</w:t>
      </w:r>
      <w:r>
        <w:rPr>
          <w:rFonts w:hint="eastAsia" w:ascii="仿宋" w:hAnsi="仿宋" w:eastAsia="仿宋"/>
          <w:color w:val="000000" w:themeColor="text1"/>
          <w:sz w:val="24"/>
          <w:szCs w:val="24"/>
          <w:highlight w:val="none"/>
          <w:u w:val="single"/>
        </w:rPr>
        <w:t xml:space="preserve">  1</w:t>
      </w:r>
      <w:r>
        <w:rPr>
          <w:rFonts w:hint="eastAsia" w:ascii="仿宋" w:hAnsi="仿宋" w:eastAsia="仿宋"/>
          <w:color w:val="000000" w:themeColor="text1"/>
          <w:sz w:val="24"/>
          <w:szCs w:val="24"/>
          <w:highlight w:val="none"/>
        </w:rPr>
        <w:t>种争议解决方式：</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1、任何一方均可向</w:t>
      </w:r>
      <w:r>
        <w:rPr>
          <w:rFonts w:hint="eastAsia" w:ascii="仿宋" w:hAnsi="仿宋" w:eastAsia="仿宋"/>
          <w:color w:val="000000" w:themeColor="text1"/>
          <w:sz w:val="24"/>
          <w:szCs w:val="24"/>
          <w:highlight w:val="none"/>
          <w:u w:val="single"/>
        </w:rPr>
        <w:t xml:space="preserve"> 甲方   </w:t>
      </w:r>
      <w:r>
        <w:rPr>
          <w:rFonts w:hint="eastAsia" w:ascii="仿宋" w:hAnsi="仿宋" w:eastAsia="仿宋"/>
          <w:color w:val="000000" w:themeColor="text1"/>
          <w:sz w:val="24"/>
          <w:szCs w:val="24"/>
          <w:highlight w:val="none"/>
        </w:rPr>
        <w:t>所在地人民法院提起诉讼；</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2、任何一方均可向仲裁委员会提出仲裁申请。</w:t>
      </w:r>
    </w:p>
    <w:p>
      <w:pPr>
        <w:spacing w:line="360" w:lineRule="exact"/>
        <w:rPr>
          <w:rFonts w:ascii="仿宋" w:hAnsi="仿宋" w:eastAsia="仿宋"/>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六、法律适用</w:t>
      </w:r>
    </w:p>
    <w:p>
      <w:pPr>
        <w:spacing w:line="360" w:lineRule="exact"/>
        <w:ind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本协议适用中华人民共和国法律。</w:t>
      </w:r>
    </w:p>
    <w:p>
      <w:pPr>
        <w:spacing w:line="360" w:lineRule="exact"/>
        <w:rPr>
          <w:rFonts w:ascii="仿宋" w:hAnsi="仿宋" w:eastAsia="仿宋"/>
          <w:b/>
          <w:bCs/>
          <w:color w:val="000000" w:themeColor="text1"/>
          <w:sz w:val="24"/>
          <w:szCs w:val="24"/>
          <w:highlight w:val="none"/>
        </w:rPr>
      </w:pPr>
    </w:p>
    <w:p>
      <w:pPr>
        <w:spacing w:line="360" w:lineRule="exact"/>
        <w:outlineLvl w:val="0"/>
        <w:rPr>
          <w:rFonts w:ascii="仿宋" w:hAnsi="仿宋" w:eastAsia="仿宋"/>
          <w:b/>
          <w:bCs/>
          <w:color w:val="000000" w:themeColor="text1"/>
          <w:sz w:val="24"/>
          <w:szCs w:val="24"/>
          <w:highlight w:val="none"/>
        </w:rPr>
      </w:pPr>
      <w:r>
        <w:rPr>
          <w:rFonts w:hint="eastAsia" w:ascii="仿宋" w:hAnsi="仿宋" w:eastAsia="仿宋"/>
          <w:b/>
          <w:bCs/>
          <w:color w:val="000000" w:themeColor="text1"/>
          <w:sz w:val="24"/>
          <w:szCs w:val="24"/>
          <w:highlight w:val="none"/>
        </w:rPr>
        <w:t>七、协议生效</w:t>
      </w:r>
    </w:p>
    <w:p>
      <w:pPr>
        <w:spacing w:afterLines="50" w:line="400" w:lineRule="exact"/>
        <w:jc w:val="lef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本协议</w:t>
      </w:r>
      <w:r>
        <w:rPr>
          <w:rFonts w:ascii="仿宋" w:hAnsi="仿宋" w:eastAsia="仿宋"/>
          <w:color w:val="000000" w:themeColor="text1"/>
          <w:sz w:val="24"/>
          <w:szCs w:val="24"/>
          <w:highlight w:val="none"/>
        </w:rPr>
        <w:t>随</w:t>
      </w:r>
      <w:r>
        <w:rPr>
          <w:rFonts w:hint="eastAsia" w:ascii="仿宋" w:hAnsi="仿宋" w:eastAsia="仿宋"/>
          <w:color w:val="000000" w:themeColor="text1"/>
          <w:sz w:val="24"/>
          <w:szCs w:val="24"/>
          <w:highlight w:val="none"/>
        </w:rPr>
        <w:t>项目</w:t>
      </w:r>
      <w:r>
        <w:rPr>
          <w:rFonts w:ascii="仿宋" w:hAnsi="仿宋" w:eastAsia="仿宋"/>
          <w:color w:val="000000" w:themeColor="text1"/>
          <w:sz w:val="24"/>
          <w:szCs w:val="24"/>
          <w:highlight w:val="none"/>
        </w:rPr>
        <w:t>合同一同生效</w:t>
      </w:r>
      <w:r>
        <w:rPr>
          <w:rFonts w:hint="eastAsia" w:ascii="仿宋" w:hAnsi="仿宋" w:eastAsia="仿宋"/>
          <w:color w:val="000000" w:themeColor="text1"/>
          <w:sz w:val="24"/>
          <w:szCs w:val="24"/>
          <w:highlight w:val="none"/>
        </w:rPr>
        <w:t>。</w:t>
      </w:r>
    </w:p>
    <w:p>
      <w:pPr>
        <w:spacing w:afterLines="50" w:line="400" w:lineRule="exact"/>
        <w:jc w:val="lef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br w:type="page"/>
      </w:r>
    </w:p>
    <w:p>
      <w:pPr>
        <w:spacing w:afterLines="50" w:line="400" w:lineRule="exact"/>
        <w:jc w:val="left"/>
        <w:rPr>
          <w:rFonts w:ascii="仿宋" w:hAnsi="仿宋" w:eastAsia="仿宋"/>
          <w:color w:val="000000" w:themeColor="text1"/>
          <w:sz w:val="24"/>
          <w:szCs w:val="24"/>
          <w:highlight w:val="none"/>
        </w:rPr>
      </w:pPr>
    </w:p>
    <w:p>
      <w:pPr>
        <w:spacing w:afterLines="50" w:line="400" w:lineRule="exact"/>
        <w:jc w:val="left"/>
        <w:rPr>
          <w:rFonts w:ascii="仿宋" w:hAnsi="仿宋" w:eastAsia="仿宋"/>
          <w:color w:val="000000" w:themeColor="text1"/>
          <w:sz w:val="24"/>
          <w:szCs w:val="24"/>
          <w:highlight w:val="none"/>
        </w:rPr>
      </w:pPr>
    </w:p>
    <w:p>
      <w:pPr>
        <w:spacing w:afterLines="50" w:line="400" w:lineRule="exact"/>
        <w:jc w:val="left"/>
        <w:rPr>
          <w:rFonts w:ascii="宋体" w:hAnsi="宋体"/>
          <w:b/>
          <w:color w:val="000000" w:themeColor="text1"/>
          <w:sz w:val="28"/>
          <w:szCs w:val="28"/>
          <w:highlight w:val="none"/>
        </w:rPr>
      </w:pPr>
      <w:r>
        <w:rPr>
          <w:rFonts w:hint="eastAsia" w:ascii="宋体" w:hAnsi="宋体"/>
          <w:b/>
          <w:color w:val="000000" w:themeColor="text1"/>
          <w:sz w:val="28"/>
          <w:szCs w:val="28"/>
          <w:highlight w:val="none"/>
        </w:rPr>
        <w:t>分包二移动展业平台配套硬件</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依据《中华人民共和国合同法》及相关法律规定，甲乙双方本着平等互利、友好协商原则，就 的事宜达成以下协议，以共同遵守执行：</w:t>
      </w:r>
    </w:p>
    <w:p>
      <w:pPr>
        <w:spacing w:beforeLines="50" w:afterLines="50"/>
        <w:ind w:firstLine="361" w:firstLineChars="150"/>
        <w:rPr>
          <w:rFonts w:ascii="宋体" w:hAnsi="宋体" w:cs="宋体"/>
          <w:color w:val="000000" w:themeColor="text1"/>
          <w:sz w:val="24"/>
          <w:highlight w:val="none"/>
        </w:rPr>
      </w:pPr>
      <w:r>
        <w:rPr>
          <w:rFonts w:hint="eastAsia" w:ascii="宋体" w:hAnsi="宋体" w:cs="宋体"/>
          <w:b/>
          <w:color w:val="000000" w:themeColor="text1"/>
          <w:sz w:val="24"/>
          <w:highlight w:val="none"/>
        </w:rPr>
        <w:t>▲第 一 条</w:t>
      </w:r>
      <w:r>
        <w:rPr>
          <w:rFonts w:hint="eastAsia" w:ascii="宋体" w:hAnsi="宋体" w:cs="宋体"/>
          <w:color w:val="000000" w:themeColor="text1"/>
          <w:sz w:val="24"/>
          <w:highlight w:val="none"/>
        </w:rPr>
        <w:t>本合同为采购框架协议，就采购事项的实质性内容进行确定，该框架协议适用于甲方分支机构。在本合同下，各分支机构采购时，只需向乙方发出加盖分支机构行政公章的采购订单，乙方应当按照采购订单的内容向甲方分支机构供货。采购数量为预计采购数量，实际采购数量以分支机构的订单数量为准。</w:t>
      </w:r>
    </w:p>
    <w:p>
      <w:pPr>
        <w:tabs>
          <w:tab w:val="left" w:pos="540"/>
          <w:tab w:val="left" w:pos="3240"/>
        </w:tabs>
        <w:spacing w:line="500" w:lineRule="exact"/>
        <w:ind w:firstLine="354" w:firstLineChars="147"/>
        <w:rPr>
          <w:rFonts w:ascii="宋体" w:hAnsi="宋体" w:cs="宋体"/>
          <w:b/>
          <w:i/>
          <w:color w:val="000000" w:themeColor="text1"/>
          <w:sz w:val="24"/>
          <w:highlight w:val="none"/>
        </w:rPr>
      </w:pPr>
      <w:r>
        <w:rPr>
          <w:rFonts w:hint="eastAsia" w:ascii="宋体" w:hAnsi="宋体" w:cs="宋体"/>
          <w:b/>
          <w:color w:val="000000" w:themeColor="text1"/>
          <w:sz w:val="24"/>
          <w:highlight w:val="none"/>
        </w:rPr>
        <w:t>▲第 二 条 合同标的物、价格及预计采购数量</w:t>
      </w:r>
    </w:p>
    <w:p>
      <w:pPr>
        <w:tabs>
          <w:tab w:val="left" w:pos="540"/>
          <w:tab w:val="left" w:pos="3240"/>
        </w:tabs>
        <w:spacing w:line="500" w:lineRule="exact"/>
        <w:ind w:firstLine="600" w:firstLineChars="250"/>
        <w:rPr>
          <w:rFonts w:ascii="宋体" w:hAnsi="宋体" w:cs="宋体"/>
          <w:color w:val="000000" w:themeColor="text1"/>
          <w:sz w:val="24"/>
          <w:highlight w:val="none"/>
        </w:rPr>
      </w:pPr>
    </w:p>
    <w:tbl>
      <w:tblPr>
        <w:tblStyle w:val="55"/>
        <w:tblW w:w="8499"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79"/>
        <w:gridCol w:w="257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3379" w:type="dxa"/>
            <w:vAlign w:val="center"/>
          </w:tcPr>
          <w:p>
            <w:pPr>
              <w:tabs>
                <w:tab w:val="left" w:pos="540"/>
                <w:tab w:val="left" w:pos="3240"/>
              </w:tabs>
              <w:spacing w:line="500" w:lineRule="exact"/>
              <w:ind w:left="-359" w:leftChars="-171" w:firstLine="528" w:firstLineChars="22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品名及规格</w:t>
            </w:r>
          </w:p>
        </w:tc>
        <w:tc>
          <w:tcPr>
            <w:tcW w:w="2575" w:type="dxa"/>
            <w:vAlign w:val="center"/>
          </w:tcPr>
          <w:p>
            <w:pPr>
              <w:tabs>
                <w:tab w:val="left" w:pos="540"/>
                <w:tab w:val="left" w:pos="3240"/>
              </w:tabs>
              <w:spacing w:line="500" w:lineRule="exact"/>
              <w:ind w:left="-359" w:leftChars="-171" w:firstLine="648" w:firstLineChars="27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单价（元）</w:t>
            </w:r>
          </w:p>
        </w:tc>
        <w:tc>
          <w:tcPr>
            <w:tcW w:w="2545" w:type="dxa"/>
          </w:tcPr>
          <w:p>
            <w:pPr>
              <w:tabs>
                <w:tab w:val="left" w:pos="540"/>
                <w:tab w:val="left" w:pos="3240"/>
              </w:tabs>
              <w:spacing w:line="500" w:lineRule="exact"/>
              <w:ind w:left="-359" w:leftChars="-171" w:firstLine="648" w:firstLineChars="27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预计采购数量(全行/重庆辖区内)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3379" w:type="dxa"/>
            <w:vAlign w:val="center"/>
          </w:tcPr>
          <w:p>
            <w:pPr>
              <w:tabs>
                <w:tab w:val="left" w:pos="540"/>
                <w:tab w:val="left" w:pos="3240"/>
              </w:tabs>
              <w:spacing w:line="500" w:lineRule="exact"/>
              <w:ind w:left="-359" w:leftChars="-171" w:firstLine="480" w:firstLineChars="200"/>
              <w:jc w:val="center"/>
              <w:rPr>
                <w:rFonts w:ascii="宋体" w:hAnsi="宋体" w:cs="宋体"/>
                <w:color w:val="000000" w:themeColor="text1"/>
                <w:sz w:val="24"/>
                <w:highlight w:val="none"/>
              </w:rPr>
            </w:pPr>
          </w:p>
        </w:tc>
        <w:tc>
          <w:tcPr>
            <w:tcW w:w="2575" w:type="dxa"/>
            <w:vAlign w:val="center"/>
          </w:tcPr>
          <w:p>
            <w:pPr>
              <w:tabs>
                <w:tab w:val="left" w:pos="540"/>
                <w:tab w:val="left" w:pos="3240"/>
              </w:tabs>
              <w:spacing w:line="500" w:lineRule="exact"/>
              <w:jc w:val="right"/>
              <w:rPr>
                <w:rFonts w:ascii="宋体" w:hAnsi="宋体" w:cs="宋体"/>
                <w:color w:val="000000" w:themeColor="text1"/>
                <w:sz w:val="24"/>
                <w:highlight w:val="none"/>
              </w:rPr>
            </w:pPr>
          </w:p>
        </w:tc>
        <w:tc>
          <w:tcPr>
            <w:tcW w:w="2545" w:type="dxa"/>
          </w:tcPr>
          <w:p>
            <w:pPr>
              <w:tabs>
                <w:tab w:val="left" w:pos="540"/>
                <w:tab w:val="left" w:pos="3240"/>
              </w:tabs>
              <w:spacing w:line="500" w:lineRule="exact"/>
              <w:jc w:val="right"/>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3" w:hRule="atLeast"/>
          <w:jc w:val="center"/>
        </w:trPr>
        <w:tc>
          <w:tcPr>
            <w:tcW w:w="3379" w:type="dxa"/>
            <w:vAlign w:val="center"/>
          </w:tcPr>
          <w:p>
            <w:pPr>
              <w:tabs>
                <w:tab w:val="left" w:pos="540"/>
                <w:tab w:val="left" w:pos="3240"/>
              </w:tabs>
              <w:spacing w:line="500" w:lineRule="exact"/>
              <w:ind w:left="-359" w:leftChars="-171" w:firstLine="480" w:firstLineChars="20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w:t>
            </w:r>
          </w:p>
        </w:tc>
        <w:tc>
          <w:tcPr>
            <w:tcW w:w="2575" w:type="dxa"/>
            <w:vAlign w:val="center"/>
          </w:tcPr>
          <w:p>
            <w:pPr>
              <w:tabs>
                <w:tab w:val="left" w:pos="540"/>
                <w:tab w:val="left" w:pos="3240"/>
              </w:tabs>
              <w:spacing w:line="500" w:lineRule="exact"/>
              <w:jc w:val="right"/>
              <w:rPr>
                <w:rFonts w:ascii="宋体" w:hAnsi="宋体" w:cs="宋体"/>
                <w:color w:val="000000" w:themeColor="text1"/>
                <w:sz w:val="24"/>
                <w:highlight w:val="none"/>
              </w:rPr>
            </w:pPr>
          </w:p>
        </w:tc>
        <w:tc>
          <w:tcPr>
            <w:tcW w:w="2545" w:type="dxa"/>
          </w:tcPr>
          <w:p>
            <w:pPr>
              <w:tabs>
                <w:tab w:val="left" w:pos="540"/>
                <w:tab w:val="left" w:pos="3240"/>
              </w:tabs>
              <w:spacing w:line="500" w:lineRule="exact"/>
              <w:jc w:val="right"/>
              <w:rPr>
                <w:rFonts w:ascii="宋体" w:hAnsi="宋体" w:cs="宋体"/>
                <w:color w:val="000000" w:themeColor="text1"/>
                <w:sz w:val="24"/>
                <w:highlight w:val="none"/>
              </w:rPr>
            </w:pPr>
          </w:p>
        </w:tc>
      </w:tr>
    </w:tbl>
    <w:p>
      <w:pPr>
        <w:tabs>
          <w:tab w:val="left" w:pos="540"/>
          <w:tab w:val="left" w:pos="3240"/>
        </w:tabs>
        <w:spacing w:line="500" w:lineRule="exact"/>
        <w:ind w:firstLine="234" w:firstLineChars="97"/>
        <w:rPr>
          <w:rFonts w:ascii="宋体" w:hAnsi="宋体" w:cs="宋体"/>
          <w:color w:val="000000" w:themeColor="text1"/>
          <w:sz w:val="24"/>
          <w:highlight w:val="none"/>
        </w:rPr>
      </w:pPr>
      <w:r>
        <w:rPr>
          <w:rFonts w:hint="eastAsia" w:ascii="宋体" w:hAnsi="宋体" w:cs="宋体"/>
          <w:b/>
          <w:color w:val="000000" w:themeColor="text1"/>
          <w:sz w:val="24"/>
          <w:highlight w:val="none"/>
        </w:rPr>
        <w:t>▲第 三 条  合同有效期</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本合同有效期为年月日至年月日，在本合同有效期内甲方分支机构发生的采购按本合同执行，采购数量以产品订单(见附件XX)为准。</w:t>
      </w:r>
    </w:p>
    <w:p>
      <w:pPr>
        <w:tabs>
          <w:tab w:val="left" w:pos="540"/>
          <w:tab w:val="left" w:pos="3240"/>
        </w:tabs>
        <w:spacing w:line="500" w:lineRule="exact"/>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产品货款的结算、支付方式及开具发票的要求</w:t>
      </w:r>
    </w:p>
    <w:p>
      <w:pPr>
        <w:tabs>
          <w:tab w:val="left" w:pos="540"/>
          <w:tab w:val="left" w:pos="3240"/>
        </w:tabs>
        <w:spacing w:line="500" w:lineRule="exact"/>
        <w:ind w:left="-359" w:leftChars="-171" w:firstLine="1002" w:firstLineChars="416"/>
        <w:rPr>
          <w:rFonts w:ascii="宋体" w:hAnsi="宋体" w:cs="宋体"/>
          <w:b/>
          <w:color w:val="000000" w:themeColor="text1"/>
          <w:sz w:val="24"/>
          <w:highlight w:val="none"/>
        </w:rPr>
      </w:pPr>
      <w:r>
        <w:rPr>
          <w:rFonts w:hint="eastAsia" w:ascii="宋体" w:hAnsi="宋体" w:cs="宋体"/>
          <w:b/>
          <w:color w:val="000000" w:themeColor="text1"/>
          <w:sz w:val="24"/>
          <w:highlight w:val="none"/>
        </w:rPr>
        <w:t>（一）产品货款的结算</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结算时乙方须提供与订单总价相等的增值税专用发票或由乙方向主管税务机关申请代开的增值税专用发票</w:t>
      </w:r>
    </w:p>
    <w:p>
      <w:pPr>
        <w:tabs>
          <w:tab w:val="left" w:pos="540"/>
          <w:tab w:val="left" w:pos="3240"/>
        </w:tabs>
        <w:spacing w:line="500" w:lineRule="exact"/>
        <w:ind w:left="-359" w:leftChars="-171" w:firstLine="1002" w:firstLineChars="416"/>
        <w:rPr>
          <w:rFonts w:ascii="宋体" w:hAnsi="宋体" w:cs="宋体"/>
          <w:b/>
          <w:color w:val="000000" w:themeColor="text1"/>
          <w:sz w:val="24"/>
          <w:highlight w:val="none"/>
        </w:rPr>
      </w:pPr>
      <w:r>
        <w:rPr>
          <w:rFonts w:hint="eastAsia" w:ascii="宋体" w:hAnsi="宋体" w:cs="宋体"/>
          <w:b/>
          <w:color w:val="000000" w:themeColor="text1"/>
          <w:sz w:val="24"/>
          <w:highlight w:val="none"/>
        </w:rPr>
        <w:t>（二）产品货款的支付</w:t>
      </w:r>
    </w:p>
    <w:p>
      <w:pPr>
        <w:tabs>
          <w:tab w:val="left" w:pos="540"/>
          <w:tab w:val="left" w:pos="3240"/>
        </w:tabs>
        <w:spacing w:line="500" w:lineRule="exact"/>
        <w:ind w:left="-359" w:leftChars="-171" w:firstLine="1002" w:firstLineChars="416"/>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1、货款支付时间：……</w:t>
      </w:r>
    </w:p>
    <w:p>
      <w:pPr>
        <w:tabs>
          <w:tab w:val="left" w:pos="540"/>
          <w:tab w:val="left" w:pos="3240"/>
        </w:tabs>
        <w:spacing w:line="500" w:lineRule="exact"/>
        <w:ind w:left="-359" w:leftChars="-171" w:firstLine="1002" w:firstLineChars="416"/>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2、货款支付方式：……</w:t>
      </w:r>
    </w:p>
    <w:p>
      <w:pPr>
        <w:tabs>
          <w:tab w:val="left" w:pos="540"/>
          <w:tab w:val="left" w:pos="3240"/>
        </w:tabs>
        <w:spacing w:line="500" w:lineRule="exact"/>
        <w:ind w:left="-359" w:leftChars="-171" w:firstLine="1002" w:firstLineChars="416"/>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3、……</w:t>
      </w:r>
    </w:p>
    <w:p>
      <w:pPr>
        <w:tabs>
          <w:tab w:val="left" w:pos="540"/>
          <w:tab w:val="left" w:pos="3240"/>
        </w:tabs>
        <w:spacing w:line="500" w:lineRule="exact"/>
        <w:ind w:firstLine="602" w:firstLineChars="250"/>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（三）乙方开具发票应按照甲方财务管理相关要求办理。</w:t>
      </w:r>
    </w:p>
    <w:p>
      <w:pPr>
        <w:tabs>
          <w:tab w:val="left" w:pos="540"/>
          <w:tab w:val="left" w:pos="3240"/>
        </w:tabs>
        <w:spacing w:line="500" w:lineRule="exact"/>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产品交货时间、方法</w:t>
      </w:r>
    </w:p>
    <w:p>
      <w:pPr>
        <w:tabs>
          <w:tab w:val="left" w:pos="540"/>
          <w:tab w:val="left" w:pos="3240"/>
        </w:tabs>
        <w:spacing w:line="500" w:lineRule="exact"/>
        <w:ind w:firstLine="598" w:firstLineChars="248"/>
        <w:rPr>
          <w:rFonts w:ascii="宋体" w:hAnsi="宋体" w:cs="宋体"/>
          <w:b/>
          <w:color w:val="000000" w:themeColor="text1"/>
          <w:sz w:val="24"/>
          <w:highlight w:val="none"/>
        </w:rPr>
      </w:pPr>
      <w:r>
        <w:rPr>
          <w:rFonts w:hint="eastAsia" w:ascii="宋体" w:hAnsi="宋体" w:cs="宋体"/>
          <w:b/>
          <w:color w:val="000000" w:themeColor="text1"/>
          <w:sz w:val="24"/>
          <w:highlight w:val="none"/>
        </w:rPr>
        <w:t>……</w:t>
      </w:r>
    </w:p>
    <w:p>
      <w:pPr>
        <w:tabs>
          <w:tab w:val="left" w:pos="540"/>
          <w:tab w:val="left" w:pos="3240"/>
        </w:tabs>
        <w:spacing w:line="500" w:lineRule="exact"/>
        <w:rPr>
          <w:rFonts w:ascii="宋体" w:hAnsi="宋体"/>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产品包装及费用承担</w:t>
      </w:r>
    </w:p>
    <w:p>
      <w:pPr>
        <w:tabs>
          <w:tab w:val="left" w:pos="540"/>
          <w:tab w:val="left" w:pos="3240"/>
        </w:tabs>
        <w:spacing w:line="500" w:lineRule="exact"/>
        <w:ind w:left="-359" w:leftChars="-171" w:firstLine="530" w:firstLineChars="220"/>
        <w:rPr>
          <w:rFonts w:ascii="宋体" w:hAnsi="宋体" w:cs="宋体"/>
          <w:color w:val="000000" w:themeColor="text1"/>
          <w:sz w:val="24"/>
          <w:highlight w:val="none"/>
        </w:rPr>
      </w:pPr>
      <w:r>
        <w:rPr>
          <w:rFonts w:hint="eastAsia" w:ascii="宋体" w:hAnsi="宋体" w:cs="宋体"/>
          <w:b/>
          <w:color w:val="000000" w:themeColor="text1"/>
          <w:sz w:val="24"/>
          <w:highlight w:val="none"/>
        </w:rPr>
        <w:t xml:space="preserve">    ……</w:t>
      </w:r>
    </w:p>
    <w:p>
      <w:pPr>
        <w:tabs>
          <w:tab w:val="left" w:pos="540"/>
          <w:tab w:val="left" w:pos="3240"/>
        </w:tabs>
        <w:spacing w:line="500" w:lineRule="exact"/>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产品验收、安装与调试</w:t>
      </w:r>
    </w:p>
    <w:p>
      <w:pPr>
        <w:tabs>
          <w:tab w:val="left" w:pos="540"/>
          <w:tab w:val="left" w:pos="3240"/>
        </w:tabs>
        <w:spacing w:line="500" w:lineRule="exact"/>
        <w:ind w:firstLine="583" w:firstLineChars="242"/>
        <w:rPr>
          <w:rFonts w:ascii="宋体" w:hAnsi="宋体" w:cs="宋体"/>
          <w:color w:val="000000" w:themeColor="text1"/>
          <w:sz w:val="24"/>
          <w:highlight w:val="none"/>
        </w:rPr>
      </w:pPr>
      <w:r>
        <w:rPr>
          <w:rFonts w:hint="eastAsia" w:ascii="宋体" w:hAnsi="宋体" w:cs="宋体"/>
          <w:b/>
          <w:color w:val="000000" w:themeColor="text1"/>
          <w:sz w:val="24"/>
          <w:highlight w:val="none"/>
        </w:rPr>
        <w:t>……</w:t>
      </w:r>
    </w:p>
    <w:p>
      <w:pPr>
        <w:tabs>
          <w:tab w:val="left" w:pos="540"/>
          <w:tab w:val="left" w:pos="3240"/>
        </w:tabs>
        <w:spacing w:line="500" w:lineRule="exact"/>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产品售后服务承诺</w:t>
      </w:r>
    </w:p>
    <w:p>
      <w:pPr>
        <w:spacing w:line="500" w:lineRule="exact"/>
        <w:rPr>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b/>
          <w:color w:val="000000" w:themeColor="text1"/>
          <w:sz w:val="24"/>
          <w:highlight w:val="none"/>
        </w:rPr>
        <w:t>第条</w:t>
      </w:r>
      <w:r>
        <w:rPr>
          <w:b/>
          <w:color w:val="000000" w:themeColor="text1"/>
          <w:sz w:val="24"/>
          <w:highlight w:val="none"/>
        </w:rPr>
        <w:t>违约责</w:t>
      </w:r>
      <w:r>
        <w:rPr>
          <w:rFonts w:hint="eastAsia"/>
          <w:b/>
          <w:color w:val="000000" w:themeColor="text1"/>
          <w:sz w:val="24"/>
          <w:highlight w:val="none"/>
        </w:rPr>
        <w:t>任</w:t>
      </w:r>
    </w:p>
    <w:p>
      <w:pPr>
        <w:spacing w:line="500" w:lineRule="exact"/>
        <w:rPr>
          <w:b/>
          <w:color w:val="000000" w:themeColor="text1"/>
          <w:sz w:val="24"/>
          <w:highlight w:val="none"/>
        </w:rPr>
      </w:pPr>
      <w:r>
        <w:rPr>
          <w:rFonts w:hint="eastAsia"/>
          <w:b/>
          <w:color w:val="000000" w:themeColor="text1"/>
          <w:sz w:val="24"/>
          <w:highlight w:val="none"/>
        </w:rPr>
        <w:t>……</w:t>
      </w:r>
    </w:p>
    <w:p>
      <w:pPr>
        <w:spacing w:line="500" w:lineRule="exact"/>
        <w:rPr>
          <w:b/>
          <w:color w:val="000000" w:themeColor="text1"/>
          <w:sz w:val="24"/>
          <w:highlight w:val="none"/>
        </w:rPr>
      </w:pPr>
      <w:r>
        <w:rPr>
          <w:rFonts w:hint="eastAsia" w:ascii="仿宋_GB2312" w:hAnsi="华文楷体" w:eastAsia="仿宋_GB2312"/>
          <w:b/>
          <w:color w:val="000000" w:themeColor="text1"/>
          <w:sz w:val="24"/>
          <w:highlight w:val="none"/>
        </w:rPr>
        <w:t xml:space="preserve">★★第   条  </w:t>
      </w:r>
      <w:r>
        <w:rPr>
          <w:rFonts w:hint="eastAsia"/>
          <w:b/>
          <w:color w:val="000000" w:themeColor="text1"/>
          <w:sz w:val="24"/>
          <w:highlight w:val="none"/>
        </w:rPr>
        <w:t>知识产权</w:t>
      </w:r>
    </w:p>
    <w:p>
      <w:pPr>
        <w:tabs>
          <w:tab w:val="left" w:pos="540"/>
          <w:tab w:val="left" w:pos="3240"/>
        </w:tabs>
        <w:spacing w:line="500" w:lineRule="exact"/>
        <w:ind w:firstLine="602" w:firstLineChars="250"/>
        <w:rPr>
          <w:rFonts w:ascii="宋体" w:hAnsi="宋体" w:cs="宋体"/>
          <w:b/>
          <w:color w:val="000000" w:themeColor="text1"/>
          <w:sz w:val="24"/>
          <w:highlight w:val="none"/>
        </w:rPr>
      </w:pPr>
      <w:r>
        <w:rPr>
          <w:rFonts w:hint="eastAsia" w:ascii="宋体" w:hAnsi="宋体" w:cs="宋体"/>
          <w:b/>
          <w:color w:val="000000" w:themeColor="text1"/>
          <w:sz w:val="24"/>
          <w:highlight w:val="none"/>
        </w:rPr>
        <w:t>乙方提供的设备及服务等不得侵犯任何第三方知识产权，由此造成的一切损失由乙方承担赔偿责任。</w:t>
      </w:r>
    </w:p>
    <w:p>
      <w:pPr>
        <w:spacing w:line="500" w:lineRule="exact"/>
        <w:rPr>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b/>
          <w:color w:val="000000" w:themeColor="text1"/>
          <w:sz w:val="24"/>
          <w:highlight w:val="none"/>
        </w:rPr>
        <w:t>第条保密</w:t>
      </w:r>
    </w:p>
    <w:p>
      <w:pPr>
        <w:tabs>
          <w:tab w:val="left" w:pos="540"/>
          <w:tab w:val="left" w:pos="3240"/>
        </w:tabs>
        <w:spacing w:line="500" w:lineRule="exact"/>
        <w:ind w:firstLine="602" w:firstLineChars="250"/>
        <w:rPr>
          <w:rFonts w:ascii="宋体" w:hAnsi="宋体" w:cs="宋体"/>
          <w:b/>
          <w:color w:val="000000" w:themeColor="text1"/>
          <w:sz w:val="24"/>
          <w:highlight w:val="none"/>
        </w:rPr>
      </w:pPr>
      <w:r>
        <w:rPr>
          <w:rFonts w:hint="eastAsia" w:ascii="宋体" w:hAnsi="宋体" w:cs="宋体"/>
          <w:b/>
          <w:color w:val="000000" w:themeColor="text1"/>
          <w:sz w:val="24"/>
          <w:highlight w:val="none"/>
        </w:rPr>
        <w:t>双方应保守合作过程中知悉的对方的商业秘密，未经对方书面同意，不得向任何第三方泄露、用于非本合同的目的或允许他人使用，否则应赔偿对方因此而遭受的全部损失，包括但不限于对方的实际损失、为弥补损失而花费的合理费用（如律师费、差旅费等）。</w:t>
      </w:r>
    </w:p>
    <w:p>
      <w:pPr>
        <w:tabs>
          <w:tab w:val="left" w:pos="540"/>
          <w:tab w:val="left" w:pos="3240"/>
        </w:tabs>
        <w:spacing w:line="500" w:lineRule="exact"/>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合同争议解决方式</w:t>
      </w:r>
    </w:p>
    <w:p>
      <w:pPr>
        <w:tabs>
          <w:tab w:val="left" w:pos="540"/>
          <w:tab w:val="left" w:pos="3240"/>
        </w:tabs>
        <w:spacing w:line="500" w:lineRule="exact"/>
        <w:ind w:firstLine="705" w:firstLineChars="294"/>
        <w:rPr>
          <w:rFonts w:ascii="宋体" w:hAnsi="宋体" w:cs="宋体"/>
          <w:color w:val="000000" w:themeColor="text1"/>
          <w:sz w:val="24"/>
          <w:highlight w:val="none"/>
        </w:rPr>
      </w:pPr>
      <w:r>
        <w:rPr>
          <w:rFonts w:hint="eastAsia" w:ascii="宋体" w:hAnsi="宋体" w:cs="宋体"/>
          <w:color w:val="000000" w:themeColor="text1"/>
          <w:sz w:val="24"/>
          <w:highlight w:val="none"/>
        </w:rPr>
        <w:t>因本合同引起、产生于本合同与本合同有关的任何争议应由双方通过友好协商解决。若无法协商解决，双方同意选择以下第种方式作为争议解决方式。合同关于争议解决约定具有最高效力，双方以后发生的补充合同、来往函件、等涉及到争议解决方式的，均不得对抗此约定。</w:t>
      </w:r>
    </w:p>
    <w:p>
      <w:pPr>
        <w:tabs>
          <w:tab w:val="left" w:pos="540"/>
          <w:tab w:val="left" w:pos="3240"/>
        </w:tabs>
        <w:spacing w:line="500" w:lineRule="exact"/>
        <w:ind w:firstLine="168" w:firstLineChars="7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 xml:space="preserve">     (一)仲裁方式：任何一方均可将争议提交</w:t>
      </w:r>
      <w:r>
        <w:rPr>
          <w:rFonts w:hint="eastAsia" w:ascii="宋体" w:hAnsi="宋体" w:cs="宋体"/>
          <w:i/>
          <w:color w:val="000000" w:themeColor="text1"/>
          <w:sz w:val="24"/>
          <w:highlight w:val="none"/>
          <w:u w:val="single"/>
        </w:rPr>
        <w:t xml:space="preserve"> （注：解决方式选一时填写“重庆”）</w:t>
      </w:r>
      <w:r>
        <w:rPr>
          <w:rFonts w:hint="eastAsia" w:ascii="宋体" w:hAnsi="宋体" w:cs="宋体"/>
          <w:color w:val="000000" w:themeColor="text1"/>
          <w:sz w:val="24"/>
          <w:highlight w:val="none"/>
        </w:rPr>
        <w:t>仲裁委员会。</w:t>
      </w:r>
    </w:p>
    <w:p>
      <w:pPr>
        <w:tabs>
          <w:tab w:val="left" w:pos="540"/>
          <w:tab w:val="left" w:pos="3240"/>
        </w:tabs>
        <w:spacing w:line="500" w:lineRule="exact"/>
        <w:ind w:left="120" w:leftChars="57" w:firstLine="48" w:firstLineChars="2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 xml:space="preserve">    （二）诉讼方式：任何一方有权依法向</w:t>
      </w:r>
      <w:r>
        <w:rPr>
          <w:rFonts w:hint="eastAsia" w:ascii="宋体" w:hAnsi="宋体" w:cs="宋体"/>
          <w:i/>
          <w:color w:val="000000" w:themeColor="text1"/>
          <w:sz w:val="24"/>
          <w:highlight w:val="none"/>
          <w:u w:val="single"/>
        </w:rPr>
        <w:t>（注：解决方式选二时填写“甲方所在地”）</w:t>
      </w:r>
      <w:r>
        <w:rPr>
          <w:rFonts w:hint="eastAsia" w:ascii="宋体" w:hAnsi="宋体" w:cs="宋体"/>
          <w:color w:val="000000" w:themeColor="text1"/>
          <w:sz w:val="24"/>
          <w:highlight w:val="none"/>
        </w:rPr>
        <w:t xml:space="preserve">人民法院提起诉讼。            </w:t>
      </w:r>
    </w:p>
    <w:p>
      <w:pPr>
        <w:tabs>
          <w:tab w:val="left" w:pos="540"/>
          <w:tab w:val="left" w:pos="3240"/>
        </w:tabs>
        <w:spacing w:line="500" w:lineRule="exact"/>
        <w:ind w:firstLine="236" w:firstLineChars="98"/>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不可抗力</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一）“不可抗力”指超出本合同双方控制范围、无法预见、无法避免或无法克服、使得本合同一方部分或完全不能履行本合同的事件。这类事件包括但不限于地震、台风、洪水、火灾、战争、罢工、政府行为、法律规定或其适用的变化，或者无法预见、无法避免或者无法控制的客观情况。</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二）由于发生不可抗力事件致使合同任一方不能履行合同义务时，遭受不可抗力事件影响的一方负有在合理时间内尽快通知合同对方和采取合理措施减少对方损失的义务。遭受不可抗力事件影响的一方在履行前述义务后免除违约责任。但其合同义务不因此免除。经合同双方协商同意，合同履行时间可合理延长，延长时间相当于因事件发生受到影响的时间。</w:t>
      </w:r>
    </w:p>
    <w:p>
      <w:pPr>
        <w:tabs>
          <w:tab w:val="left" w:pos="540"/>
          <w:tab w:val="left" w:pos="3240"/>
        </w:tabs>
        <w:spacing w:line="500" w:lineRule="exact"/>
        <w:ind w:firstLine="600" w:firstLineChars="250"/>
        <w:rPr>
          <w:rFonts w:ascii="宋体" w:hAnsi="宋体" w:cs="宋体"/>
          <w:color w:val="000000" w:themeColor="text1"/>
          <w:sz w:val="24"/>
          <w:highlight w:val="none"/>
        </w:rPr>
      </w:pPr>
    </w:p>
    <w:p>
      <w:pPr>
        <w:tabs>
          <w:tab w:val="left" w:pos="540"/>
          <w:tab w:val="left" w:pos="3240"/>
        </w:tabs>
        <w:spacing w:line="500" w:lineRule="exact"/>
        <w:ind w:firstLine="120" w:firstLineChars="50"/>
        <w:rPr>
          <w:rFonts w:ascii="宋体" w:hAnsi="宋体" w:cs="宋体"/>
          <w:b/>
          <w:color w:val="000000" w:themeColor="text1"/>
          <w:sz w:val="24"/>
          <w:highlight w:val="none"/>
        </w:rPr>
      </w:pPr>
      <w:r>
        <w:rPr>
          <w:rFonts w:hint="eastAsia" w:ascii="仿宋_GB2312" w:hAnsi="华文楷体" w:eastAsia="仿宋_GB2312"/>
          <w:b/>
          <w:color w:val="000000" w:themeColor="text1"/>
          <w:sz w:val="24"/>
          <w:highlight w:val="none"/>
        </w:rPr>
        <w:t>★★</w:t>
      </w:r>
      <w:r>
        <w:rPr>
          <w:rFonts w:hint="eastAsia" w:ascii="宋体" w:hAnsi="宋体" w:cs="宋体"/>
          <w:b/>
          <w:color w:val="000000" w:themeColor="text1"/>
          <w:sz w:val="24"/>
          <w:highlight w:val="none"/>
        </w:rPr>
        <w:t>第   条　其它</w:t>
      </w:r>
    </w:p>
    <w:p>
      <w:pPr>
        <w:tabs>
          <w:tab w:val="left" w:pos="540"/>
          <w:tab w:val="left" w:pos="3240"/>
        </w:tabs>
        <w:spacing w:line="500" w:lineRule="exact"/>
        <w:ind w:firstLine="118" w:firstLineChars="49"/>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1、因履行本合同而产生的一切安全保障责任，由乙方承担一切赔偿责任。</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2、本合同未尽事宜，甲乙双方协商一致后，可通过书面形式进行修改补充。本合同附件和补充协议均为本合同不可分割的组成部分，与本合同具有同等的法律效力 。双方未达成书面一致意见的，原合同继续有。</w:t>
      </w:r>
    </w:p>
    <w:p>
      <w:pPr>
        <w:ind w:firstLine="600"/>
        <w:rPr>
          <w:rFonts w:ascii="Times New Roman" w:hAnsi="Times New Roman" w:eastAsia="黑体" w:cs="Times New Roman"/>
          <w:b/>
          <w:color w:val="000000" w:themeColor="text1"/>
          <w:sz w:val="28"/>
          <w:szCs w:val="32"/>
          <w:highlight w:val="none"/>
        </w:rPr>
      </w:pPr>
      <w:r>
        <w:rPr>
          <w:rFonts w:hint="eastAsia" w:ascii="宋体" w:hAnsi="宋体" w:cs="宋体"/>
          <w:color w:val="000000" w:themeColor="text1"/>
          <w:sz w:val="24"/>
          <w:highlight w:val="none"/>
        </w:rPr>
        <w:t>3、本项目招投标文件</w:t>
      </w:r>
      <w:r>
        <w:rPr>
          <w:rFonts w:hint="eastAsia" w:ascii="宋体" w:hAnsi="宋体" w:cs="宋体"/>
          <w:b/>
          <w:color w:val="000000" w:themeColor="text1"/>
          <w:sz w:val="24"/>
          <w:highlight w:val="none"/>
        </w:rPr>
        <w:t>（</w:t>
      </w:r>
      <w:r>
        <w:rPr>
          <w:rFonts w:hint="eastAsia" w:ascii="Times New Roman" w:hAnsi="Times New Roman" w:eastAsia="黑体" w:cs="Times New Roman"/>
          <w:b/>
          <w:color w:val="000000" w:themeColor="text1"/>
          <w:sz w:val="28"/>
          <w:szCs w:val="32"/>
          <w:highlight w:val="none"/>
        </w:rPr>
        <w:t>____________</w:t>
      </w:r>
      <w:r>
        <w:rPr>
          <w:rFonts w:hint="eastAsia" w:ascii="宋体" w:hAnsi="宋体" w:cs="宋体"/>
          <w:b/>
          <w:color w:val="000000" w:themeColor="text1"/>
          <w:sz w:val="24"/>
          <w:highlight w:val="none"/>
        </w:rPr>
        <w:t>）</w:t>
      </w:r>
      <w:r>
        <w:rPr>
          <w:rFonts w:hint="eastAsia" w:ascii="宋体" w:hAnsi="宋体" w:cs="宋体"/>
          <w:color w:val="000000" w:themeColor="text1"/>
          <w:sz w:val="24"/>
          <w:highlight w:val="none"/>
        </w:rPr>
        <w:t>作为本合同的附件，招投标文件/邀标文件/续约文件……与本合同不一致的，以本合同约定为准，本合同未涉及的，以招投标文件/邀标文件/续约文件……为准。</w:t>
      </w:r>
    </w:p>
    <w:p>
      <w:pPr>
        <w:tabs>
          <w:tab w:val="left" w:pos="540"/>
          <w:tab w:val="left" w:pos="3240"/>
        </w:tabs>
        <w:spacing w:line="500" w:lineRule="exact"/>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2、本合同一式陆份，双方各执叁份，自双方签章后生效。</w:t>
      </w:r>
    </w:p>
    <w:p>
      <w:pPr>
        <w:rPr>
          <w:color w:val="000000" w:themeColor="text1"/>
          <w:highlight w:val="none"/>
        </w:rPr>
      </w:pPr>
    </w:p>
    <w:p>
      <w:pPr>
        <w:pStyle w:val="3"/>
        <w:numPr>
          <w:ilvl w:val="1"/>
          <w:numId w:val="0"/>
        </w:numPr>
        <w:spacing w:line="440" w:lineRule="exact"/>
        <w:jc w:val="center"/>
        <w:textAlignment w:val="auto"/>
        <w:rPr>
          <w:rFonts w:ascii="Calibri" w:hAnsi="Calibri"/>
          <w:b w:val="0"/>
          <w:bCs w:val="0"/>
          <w:color w:val="000000" w:themeColor="text1"/>
          <w:kern w:val="44"/>
          <w:sz w:val="44"/>
          <w:szCs w:val="44"/>
          <w:highlight w:val="none"/>
        </w:rPr>
      </w:pPr>
      <w:r>
        <w:rPr>
          <w:rFonts w:ascii="Calibri" w:hAnsi="Calibri"/>
          <w:b w:val="0"/>
          <w:bCs w:val="0"/>
          <w:color w:val="000000" w:themeColor="text1"/>
          <w:kern w:val="44"/>
          <w:sz w:val="44"/>
          <w:szCs w:val="44"/>
          <w:highlight w:val="none"/>
        </w:rPr>
        <w:br w:type="page"/>
      </w:r>
    </w:p>
    <w:p>
      <w:pPr>
        <w:widowControl/>
        <w:jc w:val="left"/>
        <w:rPr>
          <w:rFonts w:ascii="Calibri" w:hAnsi="Calibri" w:eastAsia="黑体" w:cs="Times New Roman"/>
          <w:b/>
          <w:bCs/>
          <w:color w:val="000000" w:themeColor="text1"/>
          <w:kern w:val="44"/>
          <w:sz w:val="44"/>
          <w:szCs w:val="44"/>
          <w:highlight w:val="none"/>
        </w:rPr>
      </w:pPr>
    </w:p>
    <w:p>
      <w:pPr>
        <w:keepNext/>
        <w:keepLines/>
        <w:spacing w:line="440" w:lineRule="exact"/>
        <w:ind w:firstLine="2650" w:firstLineChars="600"/>
        <w:outlineLvl w:val="0"/>
        <w:rPr>
          <w:rFonts w:ascii="Calibri" w:hAnsi="Calibri" w:eastAsia="黑体" w:cs="Times New Roman"/>
          <w:b/>
          <w:bCs/>
          <w:color w:val="000000" w:themeColor="text1"/>
          <w:kern w:val="44"/>
          <w:sz w:val="44"/>
          <w:szCs w:val="44"/>
          <w:highlight w:val="none"/>
        </w:rPr>
      </w:pPr>
      <w:r>
        <w:rPr>
          <w:rFonts w:ascii="Calibri" w:hAnsi="Calibri" w:eastAsia="黑体" w:cs="Times New Roman"/>
          <w:b/>
          <w:bCs/>
          <w:color w:val="000000" w:themeColor="text1"/>
          <w:kern w:val="44"/>
          <w:sz w:val="44"/>
          <w:szCs w:val="44"/>
          <w:highlight w:val="none"/>
        </w:rPr>
        <w:t>第五章</w:t>
      </w:r>
      <w:bookmarkStart w:id="222" w:name="OLE_LINK3"/>
      <w:r>
        <w:rPr>
          <w:rFonts w:ascii="Calibri" w:hAnsi="Calibri" w:eastAsia="黑体" w:cs="Times New Roman"/>
          <w:b/>
          <w:bCs/>
          <w:color w:val="000000" w:themeColor="text1"/>
          <w:kern w:val="44"/>
          <w:sz w:val="44"/>
          <w:szCs w:val="44"/>
          <w:highlight w:val="none"/>
        </w:rPr>
        <w:t>项目需求</w:t>
      </w:r>
      <w:bookmarkEnd w:id="132"/>
      <w:bookmarkEnd w:id="222"/>
    </w:p>
    <w:p>
      <w:pPr>
        <w:spacing w:line="440" w:lineRule="exact"/>
        <w:jc w:val="center"/>
        <w:rPr>
          <w:rFonts w:ascii="Times New Roman" w:hAnsi="Times New Roman" w:eastAsia="宋体" w:cs="Times New Roman"/>
          <w:color w:val="000000" w:themeColor="text1"/>
          <w:highlight w:val="none"/>
        </w:rPr>
      </w:pPr>
    </w:p>
    <w:p>
      <w:pPr>
        <w:keepNext/>
        <w:keepLines/>
        <w:spacing w:line="400" w:lineRule="exact"/>
        <w:jc w:val="center"/>
        <w:outlineLvl w:val="0"/>
        <w:rPr>
          <w:rFonts w:ascii="Times New Roman" w:hAnsi="Times New Roman" w:eastAsia="黑体" w:cs="Times New Roman"/>
          <w:b/>
          <w:bCs/>
          <w:color w:val="000000" w:themeColor="text1"/>
          <w:kern w:val="44"/>
          <w:sz w:val="28"/>
          <w:szCs w:val="28"/>
          <w:highlight w:val="none"/>
        </w:rPr>
      </w:pPr>
      <w:r>
        <w:rPr>
          <w:rFonts w:hint="eastAsia" w:ascii="Times New Roman" w:hAnsi="Times New Roman" w:eastAsia="黑体" w:cs="Times New Roman"/>
          <w:b/>
          <w:bCs/>
          <w:color w:val="000000" w:themeColor="text1"/>
          <w:kern w:val="44"/>
          <w:sz w:val="28"/>
          <w:szCs w:val="28"/>
          <w:highlight w:val="none"/>
        </w:rPr>
        <w:t>第一节</w:t>
      </w:r>
      <w:bookmarkStart w:id="223" w:name="_Toc489972856"/>
      <w:r>
        <w:rPr>
          <w:rFonts w:ascii="Times New Roman" w:hAnsi="Times New Roman" w:eastAsia="黑体" w:cs="Times New Roman"/>
          <w:b/>
          <w:bCs/>
          <w:color w:val="000000" w:themeColor="text1"/>
          <w:kern w:val="44"/>
          <w:sz w:val="28"/>
          <w:szCs w:val="28"/>
          <w:highlight w:val="none"/>
        </w:rPr>
        <w:t>商务符合性要求</w:t>
      </w:r>
      <w:bookmarkEnd w:id="223"/>
    </w:p>
    <w:p>
      <w:pPr>
        <w:keepNext/>
        <w:keepLines/>
        <w:spacing w:line="400" w:lineRule="exact"/>
        <w:jc w:val="left"/>
        <w:outlineLvl w:val="0"/>
        <w:rPr>
          <w:rFonts w:ascii="Times New Roman" w:hAnsi="Times New Roman" w:cs="Times New Roman"/>
          <w:color w:val="000000" w:themeColor="text1"/>
          <w:spacing w:val="-1"/>
          <w:highlight w:val="none"/>
          <w:lang w:val="ru-RU"/>
        </w:rPr>
      </w:pPr>
    </w:p>
    <w:p>
      <w:pPr>
        <w:keepNext/>
        <w:keepLines/>
        <w:spacing w:line="400" w:lineRule="exact"/>
        <w:jc w:val="left"/>
        <w:outlineLvl w:val="0"/>
        <w:rPr>
          <w:rFonts w:ascii="Times New Roman" w:hAnsi="Times New Roman" w:eastAsia="黑体" w:cs="Times New Roman"/>
          <w:b/>
          <w:bCs/>
          <w:color w:val="000000" w:themeColor="text1"/>
          <w:kern w:val="44"/>
          <w:sz w:val="28"/>
          <w:szCs w:val="28"/>
          <w:highlight w:val="none"/>
        </w:rPr>
      </w:pPr>
      <w:r>
        <w:rPr>
          <w:rFonts w:hint="eastAsia" w:ascii="Times New Roman" w:hAnsi="Times New Roman" w:cs="Times New Roman"/>
          <w:color w:val="000000" w:themeColor="text1"/>
          <w:spacing w:val="-1"/>
          <w:highlight w:val="none"/>
          <w:lang w:val="ru-RU"/>
        </w:rPr>
        <w:t>分包一：移动展业平台软件开发</w:t>
      </w:r>
    </w:p>
    <w:tbl>
      <w:tblPr>
        <w:tblStyle w:val="55"/>
        <w:tblW w:w="100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shd w:val="clear" w:color="auto" w:fill="BFBFBF"/>
            <w:vAlign w:val="center"/>
          </w:tcPr>
          <w:p>
            <w:pPr>
              <w:tabs>
                <w:tab w:val="left" w:pos="1050"/>
                <w:tab w:val="left" w:pos="1470"/>
              </w:tabs>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条款号</w:t>
            </w:r>
          </w:p>
        </w:tc>
        <w:tc>
          <w:tcPr>
            <w:tcW w:w="9326" w:type="dxa"/>
            <w:shd w:val="clear" w:color="auto" w:fill="BFBFBF"/>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1</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本文件第二章中投标人须知前附表</w:t>
            </w:r>
            <w:r>
              <w:rPr>
                <w:rFonts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2</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服务地点：详见本文件第二章中投标人须知前附表。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服务期限：详见本文件第二章中投标人须知前附表。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p>
        </w:tc>
        <w:tc>
          <w:tcPr>
            <w:tcW w:w="9326"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w:t>
            </w:r>
            <w:r>
              <w:rPr>
                <w:rFonts w:ascii="Times New Roman" w:hAnsi="Times New Roman" w:eastAsia="宋体" w:cs="Times New Roman"/>
                <w:color w:val="000000" w:themeColor="text1"/>
                <w:szCs w:val="21"/>
                <w:highlight w:val="none"/>
              </w:rPr>
              <w:t>质量及验收要求：</w:t>
            </w:r>
            <w:r>
              <w:rPr>
                <w:rFonts w:hint="eastAsia" w:ascii="Times New Roman" w:hAnsi="Times New Roman" w:eastAsia="宋体" w:cs="Times New Roman"/>
                <w:color w:val="000000" w:themeColor="text1"/>
                <w:szCs w:val="21"/>
                <w:highlight w:val="none"/>
              </w:rPr>
              <w:t>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服务成果要求：详见本文件第一章《招标公告》。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6</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7</w:t>
            </w:r>
          </w:p>
        </w:tc>
        <w:tc>
          <w:tcPr>
            <w:tcW w:w="9326" w:type="dxa"/>
          </w:tcPr>
          <w:p>
            <w:pPr>
              <w:adjustRightInd w:val="0"/>
              <w:snapToGrid w:val="0"/>
              <w:spacing w:line="260" w:lineRule="atLeast"/>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bCs/>
                <w:color w:val="000000" w:themeColor="text1"/>
                <w:szCs w:val="21"/>
                <w:highlight w:val="none"/>
              </w:rPr>
              <w:t>付款方式：</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以转账方式支付，分次支付：</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1、合同签订后，支付合同总金额的20%；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2、系统第一批功能上线成功后，支付合同总金额的30%；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3、系统最终验收且完成所有功能上线，支付合同总金额的40%；</w:t>
            </w:r>
          </w:p>
          <w:p>
            <w:pPr>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4、最终验收且完成所有功能上线的1年后，支付合同总金额的10%。</w:t>
            </w:r>
          </w:p>
          <w:p>
            <w:pPr>
              <w:tabs>
                <w:tab w:val="left" w:pos="1050"/>
                <w:tab w:val="left" w:pos="1470"/>
              </w:tabs>
              <w:rPr>
                <w:rFonts w:ascii="Times New Roman" w:hAnsi="Times New Roman" w:eastAsia="宋体" w:cs="Times New Roman"/>
                <w:b/>
                <w:bCs/>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8</w:t>
            </w:r>
          </w:p>
        </w:tc>
        <w:tc>
          <w:tcPr>
            <w:tcW w:w="9326" w:type="dxa"/>
          </w:tcPr>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ascii="Times New Roman" w:hAnsi="Times New Roman" w:eastAsia="宋体" w:cs="Times New Roman"/>
                <w:color w:val="000000" w:themeColor="text1"/>
                <w:szCs w:val="21"/>
                <w:highlight w:val="none"/>
              </w:rPr>
              <w:t>履约保证金退还时间：系统完成最终验收后，</w:t>
            </w:r>
            <w:r>
              <w:rPr>
                <w:rFonts w:hint="eastAsia" w:ascii="Times New Roman" w:hAnsi="Times New Roman" w:eastAsia="宋体" w:cs="Times New Roman"/>
                <w:color w:val="000000" w:themeColor="text1"/>
                <w:szCs w:val="21"/>
                <w:highlight w:val="none"/>
              </w:rPr>
              <w:t>一次性无息退还；</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9</w:t>
            </w:r>
          </w:p>
        </w:tc>
        <w:tc>
          <w:tcPr>
            <w:tcW w:w="9326" w:type="dxa"/>
          </w:tcPr>
          <w:p>
            <w:pPr>
              <w:numPr>
                <w:ilvl w:val="255"/>
                <w:numId w:val="0"/>
              </w:numPr>
              <w:tabs>
                <w:tab w:val="left" w:pos="1050"/>
                <w:tab w:val="left" w:pos="1470"/>
              </w:tabs>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实施团队需提供合计4人月的UAT测试人月数配合我行完成上线前的UAT测试，且测试人员不能为实施项目的开发人员。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10" w:type="dxa"/>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10</w:t>
            </w:r>
          </w:p>
        </w:tc>
        <w:tc>
          <w:tcPr>
            <w:tcW w:w="9326"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如果部分功能模块采用第三方产品进行实施，需提供第三方产品厂商提供的正式授权许可证明，可以在投标时随投标文件提供或者公示结束后五个工作日内提供，还需同时提供由实施厂商承诺的在维保服务期内提供全程维保服务的承诺书。</w:t>
            </w:r>
          </w:p>
          <w:p>
            <w:pPr>
              <w:tabs>
                <w:tab w:val="left" w:pos="1050"/>
                <w:tab w:val="left" w:pos="1470"/>
              </w:tabs>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2实施团队需自行提供保证项目开发的测试设备，包括但不限于</w:t>
            </w:r>
            <w:r>
              <w:rPr>
                <w:rFonts w:ascii="仿宋" w:hAnsi="仿宋" w:eastAsia="仿宋"/>
                <w:color w:val="000000" w:themeColor="text1"/>
                <w:sz w:val="24"/>
                <w:szCs w:val="24"/>
                <w:highlight w:val="none"/>
              </w:rPr>
              <w:t>iPad</w:t>
            </w:r>
            <w:r>
              <w:rPr>
                <w:rFonts w:hint="eastAsia" w:ascii="仿宋" w:hAnsi="仿宋" w:eastAsia="仿宋"/>
                <w:color w:val="000000" w:themeColor="text1"/>
                <w:sz w:val="24"/>
                <w:szCs w:val="24"/>
                <w:highlight w:val="none"/>
              </w:rPr>
              <w:t>平板电脑、iOS和Android手机。</w:t>
            </w:r>
          </w:p>
        </w:tc>
      </w:tr>
    </w:tbl>
    <w:p>
      <w:pPr>
        <w:keepNext/>
        <w:keepLines/>
        <w:spacing w:line="400" w:lineRule="exact"/>
        <w:jc w:val="left"/>
        <w:outlineLvl w:val="0"/>
        <w:rPr>
          <w:rFonts w:ascii="Times New Roman" w:hAnsi="Times New Roman" w:cs="Times New Roman"/>
          <w:color w:val="000000" w:themeColor="text1"/>
          <w:spacing w:val="-1"/>
          <w:highlight w:val="none"/>
          <w:lang w:val="ru-RU"/>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keepNext/>
        <w:keepLines/>
        <w:spacing w:line="400" w:lineRule="exact"/>
        <w:jc w:val="left"/>
        <w:outlineLvl w:val="0"/>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br w:type="page"/>
      </w:r>
    </w:p>
    <w:p>
      <w:pPr>
        <w:keepNext/>
        <w:keepLines/>
        <w:spacing w:line="400" w:lineRule="exact"/>
        <w:jc w:val="left"/>
        <w:outlineLvl w:val="0"/>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分包二：移动展业平台配套硬件</w:t>
      </w:r>
    </w:p>
    <w:tbl>
      <w:tblPr>
        <w:tblStyle w:val="55"/>
        <w:tblW w:w="10065"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keepNext/>
              <w:keepLines/>
              <w:spacing w:line="400" w:lineRule="exact"/>
              <w:jc w:val="center"/>
              <w:outlineLvl w:val="0"/>
              <w:rPr>
                <w:rFonts w:ascii="Times New Roman" w:hAnsi="Times New Roman" w:eastAsia="宋体" w:cs="Times New Roman"/>
                <w:snapToGrid w:val="0"/>
                <w:color w:val="000000" w:themeColor="text1"/>
                <w:spacing w:val="-20"/>
                <w:kern w:val="0"/>
                <w:szCs w:val="21"/>
                <w:highlight w:val="none"/>
              </w:rPr>
            </w:pPr>
            <w:r>
              <w:rPr>
                <w:rFonts w:ascii="Times New Roman" w:hAnsi="Times New Roman" w:eastAsia="宋体" w:cs="Times New Roman"/>
                <w:snapToGrid w:val="0"/>
                <w:color w:val="000000" w:themeColor="text1"/>
                <w:spacing w:val="-20"/>
                <w:kern w:val="0"/>
                <w:szCs w:val="21"/>
                <w:highlight w:val="none"/>
              </w:rPr>
              <w:t>条款号</w:t>
            </w:r>
          </w:p>
        </w:tc>
        <w:tc>
          <w:tcPr>
            <w:tcW w:w="9212" w:type="dxa"/>
            <w:shd w:val="clear" w:color="auto" w:fill="auto"/>
            <w:vAlign w:val="center"/>
          </w:tcPr>
          <w:p>
            <w:pPr>
              <w:keepNext/>
              <w:keepLines/>
              <w:spacing w:line="400" w:lineRule="exact"/>
              <w:jc w:val="center"/>
              <w:outlineLvl w:val="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1</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货物规格型号及数量：</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本招标文件第二章《投标人须知前附表》</w:t>
            </w:r>
            <w:r>
              <w:rPr>
                <w:rFonts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2</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交货/安装地点：详见本招标文件第二章《投标人须知前附表》。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供货时间：详见本招标文件第二章《投标人须知前附表》。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p>
        </w:tc>
        <w:tc>
          <w:tcPr>
            <w:tcW w:w="9212" w:type="dxa"/>
            <w:shd w:val="clear" w:color="auto" w:fill="auto"/>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售后服务要求：详见本招标文件第一章《招标公告》。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w:t>
            </w:r>
          </w:p>
        </w:tc>
        <w:tc>
          <w:tcPr>
            <w:tcW w:w="9212" w:type="dxa"/>
            <w:shd w:val="clear" w:color="auto" w:fill="auto"/>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质量及验收要求</w:t>
            </w:r>
            <w:r>
              <w:rPr>
                <w:rFonts w:ascii="Times New Roman" w:hAnsi="Times New Roman" w:eastAsia="宋体" w:cs="Times New Roman"/>
                <w:color w:val="000000" w:themeColor="text1"/>
                <w:szCs w:val="21"/>
                <w:highlight w:val="none"/>
              </w:rPr>
              <w:t>：</w:t>
            </w:r>
            <w:r>
              <w:rPr>
                <w:rFonts w:hint="eastAsia" w:ascii="Times New Roman" w:hAnsi="Times New Roman" w:eastAsia="宋体" w:cs="Times New Roman"/>
                <w:color w:val="000000" w:themeColor="text1"/>
                <w:szCs w:val="21"/>
                <w:highlight w:val="none"/>
              </w:rPr>
              <w:t>详见本招标文件第一章《招标公告》。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6</w:t>
            </w:r>
          </w:p>
        </w:tc>
        <w:tc>
          <w:tcPr>
            <w:tcW w:w="9212" w:type="dxa"/>
            <w:shd w:val="clear" w:color="auto" w:fill="auto"/>
          </w:tcPr>
          <w:p>
            <w:pPr>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color w:val="000000" w:themeColor="text1"/>
                <w:szCs w:val="21"/>
                <w:highlight w:val="none"/>
              </w:rPr>
              <w:t>付款方式：</w:t>
            </w:r>
            <w:r>
              <w:rPr>
                <w:rFonts w:hint="eastAsia" w:ascii="Times New Roman" w:hAnsi="Times New Roman" w:cs="Times New Roman"/>
                <w:color w:val="000000" w:themeColor="text1"/>
                <w:spacing w:val="-1"/>
                <w:highlight w:val="none"/>
                <w:lang w:val="ru-RU"/>
              </w:rPr>
              <w:t>根据实际的供货量进行付款。</w:t>
            </w:r>
          </w:p>
          <w:p>
            <w:pPr>
              <w:tabs>
                <w:tab w:val="left" w:pos="1050"/>
                <w:tab w:val="left" w:pos="1470"/>
              </w:tabs>
              <w:rPr>
                <w:rFonts w:ascii="Times New Roman" w:hAnsi="Times New Roman" w:eastAsia="宋体" w:cs="Times New Roman"/>
                <w:b/>
                <w:bCs/>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7</w:t>
            </w:r>
          </w:p>
        </w:tc>
        <w:tc>
          <w:tcPr>
            <w:tcW w:w="9212" w:type="dxa"/>
            <w:shd w:val="clear" w:color="auto" w:fill="auto"/>
          </w:tcPr>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ascii="Times New Roman" w:hAnsi="Times New Roman" w:eastAsia="宋体" w:cs="Times New Roman"/>
                <w:color w:val="000000" w:themeColor="text1"/>
                <w:szCs w:val="21"/>
                <w:highlight w:val="none"/>
              </w:rPr>
              <w:t>履约保证金退还时间：所有货物到货后，且至少使用半年验收合格后一次性</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53" w:type="dxa"/>
            <w:shd w:val="clear" w:color="auto" w:fill="auto"/>
            <w:vAlign w:val="center"/>
          </w:tcPr>
          <w:p>
            <w:pPr>
              <w:tabs>
                <w:tab w:val="left" w:pos="1050"/>
                <w:tab w:val="left" w:pos="1470"/>
              </w:tabs>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8</w:t>
            </w:r>
          </w:p>
        </w:tc>
        <w:tc>
          <w:tcPr>
            <w:tcW w:w="9212" w:type="dxa"/>
            <w:shd w:val="clear" w:color="auto" w:fill="auto"/>
          </w:tcPr>
          <w:p>
            <w:pPr>
              <w:pStyle w:val="12"/>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供货商需免费提供三套(全新iPad+背夹)测试设备供行方持续测试，设备归行方所有且不能转销售</w:t>
            </w:r>
            <w:r>
              <w:rPr>
                <w:rFonts w:hint="eastAsia" w:ascii="Times New Roman" w:hAnsi="Times New Roman" w:eastAsia="宋体" w:cs="Times New Roman"/>
                <w:color w:val="000000" w:themeColor="text1"/>
                <w:szCs w:val="21"/>
                <w:highlight w:val="none"/>
              </w:rPr>
              <w:t>。</w:t>
            </w:r>
          </w:p>
        </w:tc>
      </w:tr>
    </w:tbl>
    <w:p>
      <w:pPr>
        <w:keepNext/>
        <w:keepLines/>
        <w:spacing w:line="400" w:lineRule="exact"/>
        <w:jc w:val="left"/>
        <w:outlineLvl w:val="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widowControl/>
        <w:jc w:val="left"/>
        <w:rPr>
          <w:rFonts w:ascii="方正楷体_GBK" w:hAnsi="等线 Light" w:eastAsia="方正楷体_GBK" w:cs="Times New Roman"/>
          <w:b/>
          <w:bCs/>
          <w:color w:val="000000" w:themeColor="text1"/>
          <w:sz w:val="44"/>
          <w:szCs w:val="44"/>
          <w:highlight w:val="none"/>
        </w:rPr>
      </w:pPr>
      <w:r>
        <w:rPr>
          <w:rFonts w:ascii="方正楷体_GBK" w:hAnsi="等线 Light" w:eastAsia="方正楷体_GBK" w:cs="Times New Roman"/>
          <w:b/>
          <w:bCs/>
          <w:color w:val="000000" w:themeColor="text1"/>
          <w:sz w:val="44"/>
          <w:szCs w:val="44"/>
          <w:highlight w:val="none"/>
        </w:rPr>
        <w:br w:type="page"/>
      </w:r>
    </w:p>
    <w:p>
      <w:pPr>
        <w:keepNext/>
        <w:keepLines/>
        <w:spacing w:line="400" w:lineRule="exact"/>
        <w:jc w:val="center"/>
        <w:outlineLvl w:val="0"/>
        <w:rPr>
          <w:rFonts w:ascii="方正楷体_GBK" w:hAnsi="等线 Light" w:eastAsia="方正楷体_GBK" w:cs="Times New Roman"/>
          <w:b/>
          <w:bCs/>
          <w:color w:val="000000" w:themeColor="text1"/>
          <w:sz w:val="44"/>
          <w:szCs w:val="44"/>
          <w:highlight w:val="none"/>
        </w:rPr>
      </w:pPr>
    </w:p>
    <w:p>
      <w:pPr>
        <w:keepNext/>
        <w:keepLines/>
        <w:spacing w:line="400" w:lineRule="exact"/>
        <w:jc w:val="center"/>
        <w:outlineLvl w:val="0"/>
        <w:rPr>
          <w:rFonts w:ascii="方正楷体_GBK" w:hAnsi="等线 Light" w:eastAsia="方正楷体_GBK" w:cs="Times New Roman"/>
          <w:b/>
          <w:bCs/>
          <w:color w:val="000000" w:themeColor="text1"/>
          <w:sz w:val="44"/>
          <w:szCs w:val="44"/>
          <w:highlight w:val="none"/>
        </w:rPr>
      </w:pPr>
    </w:p>
    <w:p>
      <w:pPr>
        <w:widowControl/>
        <w:jc w:val="center"/>
        <w:rPr>
          <w:rFonts w:ascii="Times New Roman" w:hAnsi="Times New Roman" w:eastAsia="黑体" w:cs="Times New Roman"/>
          <w:b/>
          <w:bCs/>
          <w:color w:val="000000" w:themeColor="text1"/>
          <w:kern w:val="44"/>
          <w:sz w:val="28"/>
          <w:szCs w:val="28"/>
          <w:highlight w:val="none"/>
        </w:rPr>
      </w:pPr>
      <w:r>
        <w:rPr>
          <w:rFonts w:hint="eastAsia" w:ascii="Times New Roman" w:hAnsi="Times New Roman" w:eastAsia="黑体" w:cs="Times New Roman"/>
          <w:b/>
          <w:bCs/>
          <w:color w:val="000000" w:themeColor="text1"/>
          <w:kern w:val="44"/>
          <w:sz w:val="28"/>
          <w:szCs w:val="28"/>
          <w:highlight w:val="none"/>
        </w:rPr>
        <w:t>第二节技术</w:t>
      </w:r>
      <w:r>
        <w:rPr>
          <w:rFonts w:ascii="Times New Roman" w:hAnsi="Times New Roman" w:eastAsia="黑体" w:cs="Times New Roman"/>
          <w:b/>
          <w:bCs/>
          <w:color w:val="000000" w:themeColor="text1"/>
          <w:kern w:val="44"/>
          <w:sz w:val="28"/>
          <w:szCs w:val="28"/>
          <w:highlight w:val="none"/>
        </w:rPr>
        <w:t>符合性要求</w:t>
      </w:r>
    </w:p>
    <w:p>
      <w:pPr>
        <w:widowControl/>
        <w:spacing w:line="320" w:lineRule="exact"/>
        <w:jc w:val="left"/>
        <w:rPr>
          <w:rFonts w:ascii="Times New Roman" w:hAnsi="Times New Roman" w:cs="Times New Roman"/>
          <w:color w:val="000000" w:themeColor="text1"/>
          <w:spacing w:val="-1"/>
          <w:highlight w:val="none"/>
          <w:lang w:val="ru-RU"/>
        </w:rPr>
      </w:pPr>
    </w:p>
    <w:p>
      <w:pPr>
        <w:widowControl/>
        <w:spacing w:line="320" w:lineRule="exact"/>
        <w:jc w:val="left"/>
        <w:rPr>
          <w:rFonts w:ascii="Times New Roman" w:hAnsi="Times New Roman" w:cs="Times New Roman"/>
          <w:color w:val="000000" w:themeColor="text1"/>
          <w:spacing w:val="-1"/>
          <w:highlight w:val="none"/>
          <w:lang w:val="ru-RU"/>
        </w:rPr>
      </w:pPr>
    </w:p>
    <w:p>
      <w:pPr>
        <w:spacing w:line="320" w:lineRule="exact"/>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分包二：移动展业平台配套硬件，详细的货物技术标准要求：</w:t>
      </w:r>
    </w:p>
    <w:p>
      <w:pPr>
        <w:spacing w:line="320" w:lineRule="exact"/>
        <w:jc w:val="left"/>
        <w:rPr>
          <w:rFonts w:ascii="Times New Roman" w:hAnsi="Times New Roman" w:cs="Times New Roman"/>
          <w:color w:val="000000" w:themeColor="text1"/>
          <w:spacing w:val="-1"/>
          <w:highlight w:val="none"/>
          <w:lang w:val="ru-RU"/>
        </w:rPr>
      </w:pPr>
    </w:p>
    <w:tbl>
      <w:tblPr>
        <w:tblStyle w:val="55"/>
        <w:tblW w:w="7957" w:type="dxa"/>
        <w:jc w:val="center"/>
        <w:tblInd w:w="1121" w:type="dxa"/>
        <w:tblLayout w:type="fixed"/>
        <w:tblCellMar>
          <w:top w:w="0" w:type="dxa"/>
          <w:left w:w="108" w:type="dxa"/>
          <w:bottom w:w="0" w:type="dxa"/>
          <w:right w:w="108" w:type="dxa"/>
        </w:tblCellMar>
      </w:tblPr>
      <w:tblGrid>
        <w:gridCol w:w="812"/>
        <w:gridCol w:w="1701"/>
        <w:gridCol w:w="5444"/>
      </w:tblGrid>
      <w:tr>
        <w:tblPrEx>
          <w:tblLayout w:type="fixed"/>
          <w:tblCellMar>
            <w:top w:w="0" w:type="dxa"/>
            <w:left w:w="108" w:type="dxa"/>
            <w:bottom w:w="0" w:type="dxa"/>
            <w:right w:w="108" w:type="dxa"/>
          </w:tblCellMar>
        </w:tblPrEx>
        <w:trPr>
          <w:trHeight w:val="495" w:hRule="atLeast"/>
          <w:jc w:val="center"/>
        </w:trPr>
        <w:tc>
          <w:tcPr>
            <w:tcW w:w="81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整体参数</w:t>
            </w: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外观形态</w:t>
            </w:r>
          </w:p>
        </w:tc>
        <w:tc>
          <w:tcPr>
            <w:tcW w:w="544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设备底部有防滑固定装置设计</w:t>
            </w:r>
          </w:p>
        </w:tc>
      </w:tr>
      <w:tr>
        <w:tblPrEx>
          <w:tblLayout w:type="fixed"/>
          <w:tblCellMar>
            <w:top w:w="0" w:type="dxa"/>
            <w:left w:w="108" w:type="dxa"/>
            <w:bottom w:w="0" w:type="dxa"/>
            <w:right w:w="108" w:type="dxa"/>
          </w:tblCellMar>
        </w:tblPrEx>
        <w:trPr>
          <w:trHeight w:val="40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nil"/>
              <w:left w:val="nil"/>
              <w:bottom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材质用料</w:t>
            </w:r>
          </w:p>
        </w:tc>
        <w:tc>
          <w:tcPr>
            <w:tcW w:w="544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w:t>
            </w:r>
            <w:r>
              <w:rPr>
                <w:rFonts w:ascii="宋体" w:hAnsi="宋体" w:eastAsia="宋体" w:cs="宋体"/>
                <w:color w:val="000000" w:themeColor="text1"/>
                <w:kern w:val="0"/>
                <w:szCs w:val="21"/>
                <w:highlight w:val="none"/>
              </w:rPr>
              <w:t>ABS+PC</w:t>
            </w:r>
            <w:r>
              <w:rPr>
                <w:rFonts w:hint="eastAsia" w:ascii="宋体" w:hAnsi="宋体" w:eastAsia="宋体" w:cs="宋体"/>
                <w:color w:val="000000" w:themeColor="text1"/>
                <w:kern w:val="0"/>
                <w:szCs w:val="21"/>
                <w:highlight w:val="none"/>
              </w:rPr>
              <w:t>环保材质，有害物质的排放符合我国要求</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Logo标识</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机身上印制重庆银行logo，各功能模块有清晰操作指引</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附件</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1.免费提供配套真皮皮套，加印重庆银行logo,可有效整合iPad和背夹设备放入，交付前提供设计图给行方确认；</w:t>
            </w:r>
            <w:r>
              <w:rPr>
                <w:rFonts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2.免费提供配套便携手提包，加印重庆银行logo，设计合理，交付前提供设计图给行方确认</w:t>
            </w:r>
          </w:p>
        </w:tc>
      </w:tr>
      <w:tr>
        <w:tblPrEx>
          <w:tblLayout w:type="fixed"/>
          <w:tblCellMar>
            <w:top w:w="0" w:type="dxa"/>
            <w:left w:w="108" w:type="dxa"/>
            <w:bottom w:w="0" w:type="dxa"/>
            <w:right w:w="108" w:type="dxa"/>
          </w:tblCellMar>
        </w:tblPrEx>
        <w:trPr>
          <w:trHeight w:val="345" w:hRule="atLeast"/>
          <w:jc w:val="center"/>
        </w:trPr>
        <w:tc>
          <w:tcPr>
            <w:tcW w:w="812"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硬件参数</w:t>
            </w: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CPU</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四核，主频1.2GHZ</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内存</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1GB</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存储</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8GB</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显示屏</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5英寸，分辨率1280 x 720</w:t>
            </w:r>
          </w:p>
        </w:tc>
      </w:tr>
      <w:tr>
        <w:tblPrEx>
          <w:tblLayout w:type="fixed"/>
          <w:tblCellMar>
            <w:top w:w="0" w:type="dxa"/>
            <w:left w:w="108" w:type="dxa"/>
            <w:bottom w:w="0" w:type="dxa"/>
            <w:right w:w="108" w:type="dxa"/>
          </w:tblCellMar>
        </w:tblPrEx>
        <w:trPr>
          <w:trHeight w:val="429"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restart"/>
            <w:tcBorders>
              <w:top w:val="nil"/>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电池</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可充电锂电池，4.35V， 6100mAh</w:t>
            </w:r>
          </w:p>
        </w:tc>
      </w:tr>
      <w:tr>
        <w:tblPrEx>
          <w:tblLayout w:type="fixed"/>
          <w:tblCellMar>
            <w:top w:w="0" w:type="dxa"/>
            <w:left w:w="108" w:type="dxa"/>
            <w:bottom w:w="0" w:type="dxa"/>
            <w:right w:w="108" w:type="dxa"/>
          </w:tblCellMar>
        </w:tblPrEx>
        <w:trPr>
          <w:trHeight w:val="421"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支持设备连续运行8小时</w:t>
            </w:r>
          </w:p>
        </w:tc>
      </w:tr>
      <w:tr>
        <w:tblPrEx>
          <w:tblLayout w:type="fixed"/>
          <w:tblCellMar>
            <w:top w:w="0" w:type="dxa"/>
            <w:left w:w="108" w:type="dxa"/>
            <w:bottom w:w="0" w:type="dxa"/>
            <w:right w:w="108" w:type="dxa"/>
          </w:tblCellMar>
        </w:tblPrEx>
        <w:trPr>
          <w:trHeight w:val="398"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支持电池可更换</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扬声器</w:t>
            </w:r>
          </w:p>
        </w:tc>
        <w:tc>
          <w:tcPr>
            <w:tcW w:w="5444"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蓝牙通讯模块</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支持蓝牙4.0</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开关要求</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机身有电源开关</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供电要求</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电源、电池供电（续航时间、电量不足提示）</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指示灯</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7个指示灯：IC 卡， 二代证， 磁卡，指纹， 蓝牙，运行， 充电</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线缆插口</w:t>
            </w:r>
          </w:p>
        </w:tc>
        <w:tc>
          <w:tcPr>
            <w:tcW w:w="5444"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USB接口</w:t>
            </w:r>
          </w:p>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外接电源口，外接电源时同时具备供电和对电池充电功能</w:t>
            </w:r>
          </w:p>
        </w:tc>
      </w:tr>
      <w:tr>
        <w:tblPrEx>
          <w:tblLayout w:type="fixed"/>
          <w:tblCellMar>
            <w:top w:w="0" w:type="dxa"/>
            <w:left w:w="108" w:type="dxa"/>
            <w:bottom w:w="0" w:type="dxa"/>
            <w:right w:w="108" w:type="dxa"/>
          </w:tblCellMar>
        </w:tblPrEx>
        <w:trPr>
          <w:trHeight w:val="345" w:hRule="atLeast"/>
          <w:jc w:val="center"/>
        </w:trPr>
        <w:tc>
          <w:tcPr>
            <w:tcW w:w="812"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软件要求</w:t>
            </w:r>
          </w:p>
        </w:tc>
        <w:tc>
          <w:tcPr>
            <w:tcW w:w="1701" w:type="dxa"/>
            <w:tcBorders>
              <w:top w:val="single" w:color="auto" w:sz="4" w:space="0"/>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驱动程序</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按照银行的要求提供驱动文件以及测试设备</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支持操作系统</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支持Android、Win8、iOS系统的平板电脑适配。需提供iPad（A1823）型号在移动背夹上功能适配。</w:t>
            </w:r>
          </w:p>
        </w:tc>
      </w:tr>
      <w:tr>
        <w:tblPrEx>
          <w:tblLayout w:type="fixed"/>
          <w:tblCellMar>
            <w:top w:w="0" w:type="dxa"/>
            <w:left w:w="108" w:type="dxa"/>
            <w:bottom w:w="0" w:type="dxa"/>
            <w:right w:w="108" w:type="dxa"/>
          </w:tblCellMar>
        </w:tblPrEx>
        <w:trPr>
          <w:trHeight w:val="345" w:hRule="atLeast"/>
          <w:jc w:val="center"/>
        </w:trPr>
        <w:tc>
          <w:tcPr>
            <w:tcW w:w="812" w:type="dxa"/>
            <w:vMerge w:val="restart"/>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模块参数</w:t>
            </w:r>
          </w:p>
        </w:tc>
        <w:tc>
          <w:tcPr>
            <w:tcW w:w="1701"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密码键盘</w:t>
            </w:r>
          </w:p>
        </w:tc>
        <w:tc>
          <w:tcPr>
            <w:tcW w:w="5444"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支持实体按键输入(12键， 数字键+取消+确认），按键寿命&gt;=100万次，有按键提示音，全部按键支持盲文</w:t>
            </w:r>
          </w:p>
        </w:tc>
      </w:tr>
      <w:tr>
        <w:tblPrEx>
          <w:tblLayout w:type="fixed"/>
          <w:tblCellMar>
            <w:top w:w="0" w:type="dxa"/>
            <w:left w:w="108" w:type="dxa"/>
            <w:bottom w:w="0" w:type="dxa"/>
            <w:right w:w="108" w:type="dxa"/>
          </w:tblCellMar>
        </w:tblPrEx>
        <w:trPr>
          <w:trHeight w:val="596" w:hRule="atLeast"/>
          <w:jc w:val="center"/>
        </w:trPr>
        <w:tc>
          <w:tcPr>
            <w:tcW w:w="812"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支持3DES、DES、MAC加密算法及ANSI X9.8PIN Block格式，符合ANSI X9.24安全标准，支持国密；</w:t>
            </w:r>
          </w:p>
        </w:tc>
      </w:tr>
      <w:tr>
        <w:tblPrEx>
          <w:tblLayout w:type="fixed"/>
          <w:tblCellMar>
            <w:top w:w="0" w:type="dxa"/>
            <w:left w:w="108" w:type="dxa"/>
            <w:bottom w:w="0" w:type="dxa"/>
            <w:right w:w="108" w:type="dxa"/>
          </w:tblCellMar>
        </w:tblPrEx>
        <w:trPr>
          <w:trHeight w:val="302" w:hRule="atLeast"/>
          <w:jc w:val="center"/>
        </w:trPr>
        <w:tc>
          <w:tcPr>
            <w:tcW w:w="812"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通过国家密码管理局的商用密码产品型号证书认证；</w:t>
            </w:r>
          </w:p>
        </w:tc>
      </w:tr>
      <w:tr>
        <w:tblPrEx>
          <w:tblLayout w:type="fixed"/>
          <w:tblCellMar>
            <w:top w:w="0" w:type="dxa"/>
            <w:left w:w="108" w:type="dxa"/>
            <w:bottom w:w="0" w:type="dxa"/>
            <w:right w:w="108" w:type="dxa"/>
          </w:tblCellMar>
        </w:tblPrEx>
        <w:trPr>
          <w:trHeight w:val="407" w:hRule="atLeast"/>
          <w:jc w:val="center"/>
        </w:trPr>
        <w:tc>
          <w:tcPr>
            <w:tcW w:w="812"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支持灌注主密钥；拆机密钥自毁；</w:t>
            </w:r>
          </w:p>
        </w:tc>
      </w:tr>
      <w:tr>
        <w:tblPrEx>
          <w:tblLayout w:type="fixed"/>
          <w:tblCellMar>
            <w:top w:w="0" w:type="dxa"/>
            <w:left w:w="108" w:type="dxa"/>
            <w:bottom w:w="0" w:type="dxa"/>
            <w:right w:w="108" w:type="dxa"/>
          </w:tblCellMar>
        </w:tblPrEx>
        <w:trPr>
          <w:trHeight w:val="374" w:hRule="atLeast"/>
          <w:jc w:val="center"/>
        </w:trPr>
        <w:tc>
          <w:tcPr>
            <w:tcW w:w="812"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有防窥设计；</w:t>
            </w:r>
          </w:p>
        </w:tc>
      </w:tr>
      <w:tr>
        <w:tblPrEx>
          <w:tblLayout w:type="fixed"/>
          <w:tblCellMar>
            <w:top w:w="0" w:type="dxa"/>
            <w:left w:w="108" w:type="dxa"/>
            <w:bottom w:w="0" w:type="dxa"/>
            <w:right w:w="108" w:type="dxa"/>
          </w:tblCellMar>
        </w:tblPrEx>
        <w:trPr>
          <w:trHeight w:val="550" w:hRule="atLeast"/>
          <w:jc w:val="center"/>
        </w:trPr>
        <w:tc>
          <w:tcPr>
            <w:tcW w:w="812"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701" w:type="dxa"/>
            <w:vMerge w:val="continue"/>
            <w:tcBorders>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满足重庆银行相关技术规范</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701"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磁条读写器</w:t>
            </w:r>
          </w:p>
        </w:tc>
        <w:tc>
          <w:tcPr>
            <w:tcW w:w="544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支持磁条卡读取，符合《银行卡磁条信息格式和使用规范》的要求</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支持读取ISO7810和7811、ISO7811-1/2/4/5/6标准的磁条卡；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支持读取高低抗磁条卡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符合银联相关标准，支持读取高抗及低抗存折、借记卡、贷记卡；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 xml:space="preserve">支持双向划卡； </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读取ANSL/IS0/AAWA标准之三轨磁条卡数据</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themeColor="text1"/>
                <w:szCs w:val="21"/>
                <w:highlight w:val="none"/>
              </w:rPr>
            </w:pPr>
            <w:r>
              <w:rPr>
                <w:rFonts w:hint="eastAsia" w:ascii="宋体" w:hAnsi="宋体" w:eastAsia="宋体" w:cs="宋体"/>
                <w:color w:val="000000" w:themeColor="text1"/>
                <w:kern w:val="0"/>
                <w:szCs w:val="21"/>
                <w:highlight w:val="none"/>
              </w:rPr>
              <w:t>刷卡速度范围：10cm/ps-100cm/ps</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磁头寿命：刷卡次数大于100万次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接触式IC卡</w:t>
            </w:r>
          </w:p>
        </w:tc>
        <w:tc>
          <w:tcPr>
            <w:tcW w:w="544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支持接触式IC卡读写，符合《全国工业产品生产许可证》的要求</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符合人行PBOC2.0/3.0标准认证；</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符合ISO7816-1/2/3的3V/5V接触式CPU卡；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 GB/T 15120.1-1994、GB/T 15120.2-1994、GB/T 15120.3-1994、GB/T15120.4-1994、GB/T 15120.5-1994 的规定。符合 GB/T 14916-2006、GB/T 16649.1-2006、GB/T 16649.2-2006、GB/T 16649.3-2006 的规定；</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卡座寿命&gt;50万次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非接触式IC卡</w:t>
            </w:r>
          </w:p>
        </w:tc>
        <w:tc>
          <w:tcPr>
            <w:tcW w:w="5444" w:type="dxa"/>
            <w:tcBorders>
              <w:top w:val="nil"/>
              <w:left w:val="nil"/>
              <w:bottom w:val="single" w:color="auto" w:sz="4" w:space="0"/>
              <w:right w:val="single" w:color="auto" w:sz="4" w:space="0"/>
            </w:tcBorders>
            <w:shd w:val="clear" w:color="000000" w:fill="FFFFFF"/>
          </w:tcPr>
          <w:p>
            <w:pPr>
              <w:widowControl/>
              <w:rPr>
                <w:rFonts w:ascii="宋体" w:hAnsi="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通讯方式：USB 接口 \RS232 接口</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卡座寿命：10 万次</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能够正确读出IC卡信息</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支持重庆银行现有IC卡品种</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使用图形和文字独立表示非接触式IC卡读卡区域</w:t>
            </w:r>
          </w:p>
        </w:tc>
      </w:tr>
      <w:tr>
        <w:tblPrEx>
          <w:tblLayout w:type="fixed"/>
          <w:tblCellMar>
            <w:top w:w="0" w:type="dxa"/>
            <w:left w:w="108" w:type="dxa"/>
            <w:bottom w:w="0" w:type="dxa"/>
            <w:right w:w="108" w:type="dxa"/>
          </w:tblCellMar>
        </w:tblPrEx>
        <w:trPr>
          <w:trHeight w:val="69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 xml:space="preserve">支持卡片类型： </w:t>
            </w:r>
            <w:r>
              <w:rPr>
                <w:rFonts w:hint="eastAsia"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 xml:space="preserve">符合 ISO-7816标准的 A、B 和 C 等级(5V)； </w:t>
            </w:r>
            <w:r>
              <w:rPr>
                <w:rFonts w:hint="eastAsia"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符合 ISO-14443标准的 A &amp; B 类，支持银联PBOC3.0通讯协议，支持 Mifare S50 S70 卡片</w:t>
            </w:r>
          </w:p>
        </w:tc>
      </w:tr>
      <w:tr>
        <w:tblPrEx>
          <w:tblLayout w:type="fixed"/>
          <w:tblCellMar>
            <w:top w:w="0" w:type="dxa"/>
            <w:left w:w="108" w:type="dxa"/>
            <w:bottom w:w="0" w:type="dxa"/>
            <w:right w:w="108" w:type="dxa"/>
          </w:tblCellMar>
        </w:tblPrEx>
        <w:trPr>
          <w:trHeight w:val="69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指纹仪</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设备可支持集成重庆银行</w:t>
            </w:r>
            <w:r>
              <w:rPr>
                <w:rFonts w:ascii="宋体" w:hAnsi="宋体" w:eastAsia="宋体" w:cs="宋体"/>
                <w:color w:val="000000" w:themeColor="text1"/>
                <w:kern w:val="0"/>
                <w:szCs w:val="21"/>
                <w:highlight w:val="none"/>
              </w:rPr>
              <w:t>入围</w:t>
            </w:r>
            <w:r>
              <w:rPr>
                <w:rFonts w:hint="eastAsia" w:ascii="宋体" w:hAnsi="宋体" w:eastAsia="宋体" w:cs="宋体"/>
                <w:color w:val="000000" w:themeColor="text1"/>
                <w:kern w:val="0"/>
                <w:szCs w:val="21"/>
                <w:highlight w:val="none"/>
              </w:rPr>
              <w:t>指纹模块（维尔），能够被重庆银行维尔指纹仪（</w:t>
            </w:r>
            <w:r>
              <w:rPr>
                <w:rFonts w:ascii="宋体" w:hAnsi="宋体" w:eastAsia="宋体" w:cs="宋体"/>
                <w:color w:val="000000" w:themeColor="text1"/>
                <w:kern w:val="0"/>
                <w:szCs w:val="21"/>
                <w:highlight w:val="none"/>
              </w:rPr>
              <w:t>JZT-998A</w:t>
            </w:r>
            <w:r>
              <w:rPr>
                <w:rFonts w:hint="eastAsia" w:ascii="宋体" w:hAnsi="宋体" w:eastAsia="宋体" w:cs="宋体"/>
                <w:color w:val="000000" w:themeColor="text1"/>
                <w:kern w:val="0"/>
                <w:szCs w:val="21"/>
                <w:highlight w:val="none"/>
              </w:rPr>
              <w:t>）驱动程序调用。</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指纹模板采集：读取三次，每次有指示灯提示</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支持指纹特征采集，读取时有指示灯提示</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使用图形或文字表示读取指纹区域</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指纹设备便于拆装</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指纹仪要符合公安部认证的居民身份证指纹采集器通用技术要求、居民身份证指纹采集和对比技术规范。</w:t>
            </w:r>
          </w:p>
        </w:tc>
      </w:tr>
      <w:tr>
        <w:tblPrEx>
          <w:tblLayout w:type="fixed"/>
          <w:tblCellMar>
            <w:top w:w="0" w:type="dxa"/>
            <w:left w:w="108" w:type="dxa"/>
            <w:bottom w:w="0" w:type="dxa"/>
            <w:right w:w="108" w:type="dxa"/>
          </w:tblCellMar>
        </w:tblPrEx>
        <w:trPr>
          <w:trHeight w:val="437"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二代证识别</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射频技术 支持ISO/IEC 14443 Type A、Type B标准</w:t>
            </w:r>
          </w:p>
        </w:tc>
      </w:tr>
      <w:tr>
        <w:tblPrEx>
          <w:tblLayout w:type="fixed"/>
          <w:tblCellMar>
            <w:top w:w="0" w:type="dxa"/>
            <w:left w:w="108" w:type="dxa"/>
            <w:bottom w:w="0" w:type="dxa"/>
            <w:right w:w="108" w:type="dxa"/>
          </w:tblCellMar>
        </w:tblPrEx>
        <w:trPr>
          <w:trHeight w:val="66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符合公安部《GA450-2003 台式居民身份证阅读器通用技术要求》，符合《1GA450-2003《台式居民身份证阅读器通用技术要求》第1号修改单（草案）》、《GA467-2004居民身份证验证安全控制模块接口技术规范》、《GA490-2004居民身份证机读信息规范》标准；</w:t>
            </w:r>
          </w:p>
        </w:tc>
      </w:tr>
      <w:tr>
        <w:tblPrEx>
          <w:tblLayout w:type="fixed"/>
          <w:tblCellMar>
            <w:top w:w="0" w:type="dxa"/>
            <w:left w:w="108" w:type="dxa"/>
            <w:bottom w:w="0" w:type="dxa"/>
            <w:right w:w="108" w:type="dxa"/>
          </w:tblCellMar>
        </w:tblPrEx>
        <w:trPr>
          <w:trHeight w:val="44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采用符合公安部授权生产的合格产品模块，备公安部对于第二代居民身份证阅读机具用相片解码软件最新版本的合法授权</w:t>
            </w:r>
          </w:p>
        </w:tc>
      </w:tr>
      <w:tr>
        <w:tblPrEx>
          <w:tblLayout w:type="fixed"/>
          <w:tblCellMar>
            <w:top w:w="0" w:type="dxa"/>
            <w:left w:w="108" w:type="dxa"/>
            <w:bottom w:w="0" w:type="dxa"/>
            <w:right w:w="108" w:type="dxa"/>
          </w:tblCellMar>
        </w:tblPrEx>
        <w:trPr>
          <w:trHeight w:val="56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设备能够被重庆银行驱动程序调用</w:t>
            </w:r>
          </w:p>
        </w:tc>
      </w:tr>
      <w:tr>
        <w:tblPrEx>
          <w:tblLayout w:type="fixed"/>
          <w:tblCellMar>
            <w:top w:w="0" w:type="dxa"/>
            <w:left w:w="108" w:type="dxa"/>
            <w:bottom w:w="0" w:type="dxa"/>
            <w:right w:w="108" w:type="dxa"/>
          </w:tblCellMar>
        </w:tblPrEx>
        <w:trPr>
          <w:trHeight w:val="413"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能正确读出二代证照片信息和文本信息</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读取距离：0-2CM内能成功读取</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读二代证时间≤6秒</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放证时有蜂鸣器提示，读证时有指示灯提示</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使用图形和文字独立表示二代证读卡区域</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测试成功读取二代证信息后，移开二代证后，不放证再次进行二代证读取操作，不能读出二代证信息</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restart"/>
            <w:tcBorders>
              <w:top w:val="nil"/>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电子签名屏</w:t>
            </w:r>
          </w:p>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触控方式：电磁感应式(无源)</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分辨率：4000LPI</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笔压等级：2048（含）以上</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笔读写速度：220PPS</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精确度：±0.5mm（中间区域）；±1mm（距边缘5mm范围）</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笔倾斜角度：±45° （垂直屏幕/板表面）</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感应高度：10mm （距离玻璃/板表面）</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具有加密电磁屏原厂商对该项目的授权文件；</w:t>
            </w:r>
          </w:p>
        </w:tc>
      </w:tr>
      <w:tr>
        <w:tblPrEx>
          <w:tblLayout w:type="fixed"/>
          <w:tblCellMar>
            <w:top w:w="0" w:type="dxa"/>
            <w:left w:w="108" w:type="dxa"/>
            <w:bottom w:w="0" w:type="dxa"/>
            <w:right w:w="108" w:type="dxa"/>
          </w:tblCellMar>
        </w:tblPrEx>
        <w:trPr>
          <w:trHeight w:val="383"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电磁压感感应笔(无源)</w:t>
            </w:r>
          </w:p>
        </w:tc>
      </w:tr>
      <w:tr>
        <w:tblPrEx>
          <w:tblLayout w:type="fixed"/>
          <w:tblCellMar>
            <w:top w:w="0" w:type="dxa"/>
            <w:left w:w="108" w:type="dxa"/>
            <w:bottom w:w="0" w:type="dxa"/>
            <w:right w:w="108" w:type="dxa"/>
          </w:tblCellMar>
        </w:tblPrEx>
        <w:trPr>
          <w:trHeight w:val="393"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笔尖可更换</w:t>
            </w:r>
          </w:p>
        </w:tc>
      </w:tr>
      <w:tr>
        <w:tblPrEx>
          <w:tblLayout w:type="fixed"/>
          <w:tblCellMar>
            <w:top w:w="0" w:type="dxa"/>
            <w:left w:w="108" w:type="dxa"/>
            <w:bottom w:w="0" w:type="dxa"/>
            <w:right w:w="108" w:type="dxa"/>
          </w:tblCellMar>
        </w:tblPrEx>
        <w:trPr>
          <w:trHeight w:val="402"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设备具有收纳式设计便于存放保管签名笔</w:t>
            </w:r>
          </w:p>
        </w:tc>
      </w:tr>
      <w:tr>
        <w:tblPrEx>
          <w:tblLayout w:type="fixed"/>
          <w:tblCellMar>
            <w:top w:w="0" w:type="dxa"/>
            <w:left w:w="108" w:type="dxa"/>
            <w:bottom w:w="0" w:type="dxa"/>
            <w:right w:w="108" w:type="dxa"/>
          </w:tblCellMar>
        </w:tblPrEx>
        <w:trPr>
          <w:trHeight w:val="540"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restart"/>
            <w:tcBorders>
              <w:top w:val="nil"/>
              <w:left w:val="nil"/>
              <w:right w:val="single" w:color="auto" w:sz="4" w:space="0"/>
            </w:tcBorders>
            <w:shd w:val="clear" w:color="auto" w:fill="auto"/>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电子签名</w:t>
            </w:r>
          </w:p>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加密模块</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具有电子签名功能，可对电子签名轨迹数据进行加密</w:t>
            </w:r>
          </w:p>
        </w:tc>
      </w:tr>
      <w:tr>
        <w:tblPrEx>
          <w:tblLayout w:type="fixed"/>
          <w:tblCellMar>
            <w:top w:w="0" w:type="dxa"/>
            <w:left w:w="108" w:type="dxa"/>
            <w:bottom w:w="0" w:type="dxa"/>
            <w:right w:w="108" w:type="dxa"/>
          </w:tblCellMar>
        </w:tblPrEx>
        <w:trPr>
          <w:trHeight w:val="434"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符合《中华人民共和国电子签名法》的相关要求，符合</w:t>
            </w:r>
            <w:r>
              <w:rPr>
                <w:rFonts w:ascii="宋体" w:hAnsi="宋体" w:eastAsia="宋体" w:cs="宋体"/>
                <w:color w:val="000000" w:themeColor="text1"/>
                <w:kern w:val="0"/>
                <w:szCs w:val="21"/>
                <w:highlight w:val="none"/>
              </w:rPr>
              <w:t>Q/CUP043-2013</w:t>
            </w:r>
            <w:r>
              <w:rPr>
                <w:rFonts w:hint="eastAsia" w:ascii="宋体" w:hAnsi="宋体" w:eastAsia="宋体" w:cs="宋体"/>
                <w:color w:val="000000" w:themeColor="text1"/>
                <w:kern w:val="0"/>
                <w:szCs w:val="21"/>
                <w:highlight w:val="none"/>
              </w:rPr>
              <w:t>中国银联电子签名板规范；可记录客户在设备上签名时的完整轨迹，无断点。</w:t>
            </w:r>
          </w:p>
        </w:tc>
      </w:tr>
      <w:tr>
        <w:tblPrEx>
          <w:tblLayout w:type="fixed"/>
          <w:tblCellMar>
            <w:top w:w="0" w:type="dxa"/>
            <w:left w:w="108" w:type="dxa"/>
            <w:bottom w:w="0" w:type="dxa"/>
            <w:right w:w="108" w:type="dxa"/>
          </w:tblCellMar>
        </w:tblPrEx>
        <w:trPr>
          <w:trHeight w:val="412"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支持拆机密钥自毁</w:t>
            </w:r>
          </w:p>
        </w:tc>
      </w:tr>
      <w:tr>
        <w:tblPrEx>
          <w:tblLayout w:type="fixed"/>
          <w:tblCellMar>
            <w:top w:w="0" w:type="dxa"/>
            <w:left w:w="108" w:type="dxa"/>
            <w:bottom w:w="0" w:type="dxa"/>
            <w:right w:w="108" w:type="dxa"/>
          </w:tblCellMar>
        </w:tblPrEx>
        <w:trPr>
          <w:trHeight w:val="412"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vMerge w:val="continue"/>
            <w:tcBorders>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支持签名时轨迹可同步在屏幕上展示，延迟小于</w:t>
            </w:r>
            <w:r>
              <w:rPr>
                <w:rFonts w:ascii="宋体" w:hAnsi="宋体" w:eastAsia="宋体" w:cs="宋体"/>
                <w:color w:val="000000" w:themeColor="text1"/>
                <w:kern w:val="0"/>
                <w:szCs w:val="21"/>
                <w:highlight w:val="none"/>
              </w:rPr>
              <w:t>0.5s</w:t>
            </w:r>
            <w:r>
              <w:rPr>
                <w:rFonts w:hint="eastAsia" w:ascii="宋体" w:hAnsi="宋体" w:eastAsia="宋体" w:cs="宋体"/>
                <w:color w:val="000000" w:themeColor="text1"/>
                <w:kern w:val="0"/>
                <w:szCs w:val="21"/>
                <w:highlight w:val="none"/>
              </w:rPr>
              <w:t>；能以矢量图片方式保存图片。</w:t>
            </w:r>
          </w:p>
        </w:tc>
      </w:tr>
      <w:tr>
        <w:tblPrEx>
          <w:tblLayout w:type="fixed"/>
          <w:tblCellMar>
            <w:top w:w="0" w:type="dxa"/>
            <w:left w:w="108" w:type="dxa"/>
            <w:bottom w:w="0" w:type="dxa"/>
            <w:right w:w="108" w:type="dxa"/>
          </w:tblCellMar>
        </w:tblPrEx>
        <w:trPr>
          <w:trHeight w:val="419" w:hRule="atLeast"/>
          <w:jc w:val="center"/>
        </w:trPr>
        <w:tc>
          <w:tcPr>
            <w:tcW w:w="81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PSAM卡</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内置2个</w:t>
            </w:r>
          </w:p>
        </w:tc>
      </w:tr>
      <w:tr>
        <w:tblPrEx>
          <w:tblLayout w:type="fixed"/>
          <w:tblCellMar>
            <w:top w:w="0" w:type="dxa"/>
            <w:left w:w="108" w:type="dxa"/>
            <w:bottom w:w="0" w:type="dxa"/>
            <w:right w:w="108" w:type="dxa"/>
          </w:tblCellMar>
        </w:tblPrEx>
        <w:trPr>
          <w:trHeight w:val="544" w:hRule="atLeast"/>
          <w:jc w:val="center"/>
        </w:trPr>
        <w:tc>
          <w:tcPr>
            <w:tcW w:w="81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其他参数</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电源</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DC24V/3A电源供电，电源口可插拔</w:t>
            </w:r>
          </w:p>
        </w:tc>
      </w:tr>
      <w:tr>
        <w:tblPrEx>
          <w:tblLayout w:type="fixed"/>
          <w:tblCellMar>
            <w:top w:w="0" w:type="dxa"/>
            <w:left w:w="108" w:type="dxa"/>
            <w:bottom w:w="0" w:type="dxa"/>
            <w:right w:w="108" w:type="dxa"/>
          </w:tblCellMar>
        </w:tblPrEx>
        <w:trPr>
          <w:trHeight w:val="411" w:hRule="atLeast"/>
          <w:jc w:val="center"/>
        </w:trPr>
        <w:tc>
          <w:tcPr>
            <w:tcW w:w="812"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通讯接口</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设备统一为一个输入输出通讯接口</w:t>
            </w:r>
          </w:p>
        </w:tc>
      </w:tr>
      <w:tr>
        <w:tblPrEx>
          <w:tblLayout w:type="fixed"/>
          <w:tblCellMar>
            <w:top w:w="0" w:type="dxa"/>
            <w:left w:w="108" w:type="dxa"/>
            <w:bottom w:w="0" w:type="dxa"/>
            <w:right w:w="108" w:type="dxa"/>
          </w:tblCellMar>
        </w:tblPrEx>
        <w:trPr>
          <w:trHeight w:val="417" w:hRule="atLeast"/>
          <w:jc w:val="center"/>
        </w:trPr>
        <w:tc>
          <w:tcPr>
            <w:tcW w:w="812"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扩展接口</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至少1个USB对外扩展接口</w:t>
            </w:r>
          </w:p>
        </w:tc>
      </w:tr>
      <w:tr>
        <w:tblPrEx>
          <w:tblLayout w:type="fixed"/>
          <w:tblCellMar>
            <w:top w:w="0" w:type="dxa"/>
            <w:left w:w="108" w:type="dxa"/>
            <w:bottom w:w="0" w:type="dxa"/>
            <w:right w:w="108" w:type="dxa"/>
          </w:tblCellMar>
        </w:tblPrEx>
        <w:trPr>
          <w:trHeight w:val="345" w:hRule="atLeast"/>
          <w:jc w:val="center"/>
        </w:trPr>
        <w:tc>
          <w:tcPr>
            <w:tcW w:w="812"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重量</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不大于1.2Kg</w:t>
            </w:r>
          </w:p>
        </w:tc>
      </w:tr>
      <w:tr>
        <w:tblPrEx>
          <w:tblLayout w:type="fixed"/>
          <w:tblCellMar>
            <w:top w:w="0" w:type="dxa"/>
            <w:left w:w="108" w:type="dxa"/>
            <w:bottom w:w="0" w:type="dxa"/>
            <w:right w:w="108" w:type="dxa"/>
          </w:tblCellMar>
        </w:tblPrEx>
        <w:trPr>
          <w:trHeight w:val="484"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设备开启时间</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低于20秒</w:t>
            </w:r>
          </w:p>
        </w:tc>
      </w:tr>
      <w:tr>
        <w:tblPrEx>
          <w:tblLayout w:type="fixed"/>
          <w:tblCellMar>
            <w:top w:w="0" w:type="dxa"/>
            <w:left w:w="108" w:type="dxa"/>
            <w:bottom w:w="0" w:type="dxa"/>
            <w:right w:w="108" w:type="dxa"/>
          </w:tblCellMar>
        </w:tblPrEx>
        <w:trPr>
          <w:trHeight w:val="421" w:hRule="atLeast"/>
          <w:jc w:val="center"/>
        </w:trPr>
        <w:tc>
          <w:tcPr>
            <w:tcW w:w="812"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操作响应时间</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低于2秒</w:t>
            </w:r>
          </w:p>
        </w:tc>
      </w:tr>
      <w:tr>
        <w:tblPrEx>
          <w:tblLayout w:type="fixed"/>
          <w:tblCellMar>
            <w:top w:w="0" w:type="dxa"/>
            <w:left w:w="108" w:type="dxa"/>
            <w:bottom w:w="0" w:type="dxa"/>
            <w:right w:w="108" w:type="dxa"/>
          </w:tblCellMar>
        </w:tblPrEx>
        <w:trPr>
          <w:trHeight w:val="478" w:hRule="atLeast"/>
          <w:jc w:val="center"/>
        </w:trPr>
        <w:tc>
          <w:tcPr>
            <w:tcW w:w="81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工作温度</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-10℃～50℃</w:t>
            </w:r>
          </w:p>
        </w:tc>
      </w:tr>
      <w:tr>
        <w:tblPrEx>
          <w:tblLayout w:type="fixed"/>
          <w:tblCellMar>
            <w:top w:w="0" w:type="dxa"/>
            <w:left w:w="108" w:type="dxa"/>
            <w:bottom w:w="0" w:type="dxa"/>
            <w:right w:w="108" w:type="dxa"/>
          </w:tblCellMar>
        </w:tblPrEx>
        <w:trPr>
          <w:trHeight w:val="497" w:hRule="atLeast"/>
          <w:jc w:val="center"/>
        </w:trPr>
        <w:tc>
          <w:tcPr>
            <w:tcW w:w="8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环境参数</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工作湿度</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&lt; 90%RH</w:t>
            </w:r>
          </w:p>
        </w:tc>
      </w:tr>
      <w:tr>
        <w:tblPrEx>
          <w:tblLayout w:type="fixed"/>
          <w:tblCellMar>
            <w:top w:w="0" w:type="dxa"/>
            <w:left w:w="108" w:type="dxa"/>
            <w:bottom w:w="0" w:type="dxa"/>
            <w:right w:w="108" w:type="dxa"/>
          </w:tblCellMar>
        </w:tblPrEx>
        <w:trPr>
          <w:trHeight w:val="404" w:hRule="atLeast"/>
          <w:jc w:val="center"/>
        </w:trPr>
        <w:tc>
          <w:tcPr>
            <w:tcW w:w="8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电磁兼容性</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符合GB9254-1988中A级的规定</w:t>
            </w:r>
          </w:p>
        </w:tc>
      </w:tr>
      <w:tr>
        <w:tblPrEx>
          <w:tblLayout w:type="fixed"/>
          <w:tblCellMar>
            <w:top w:w="0" w:type="dxa"/>
            <w:left w:w="108" w:type="dxa"/>
            <w:bottom w:w="0" w:type="dxa"/>
            <w:right w:w="108" w:type="dxa"/>
          </w:tblCellMar>
        </w:tblPrEx>
        <w:trPr>
          <w:trHeight w:val="385" w:hRule="atLeast"/>
          <w:jc w:val="center"/>
        </w:trPr>
        <w:tc>
          <w:tcPr>
            <w:tcW w:w="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稳定性要求</w:t>
            </w:r>
          </w:p>
        </w:tc>
        <w:tc>
          <w:tcPr>
            <w:tcW w:w="1701"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平均无故障时间</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大于10000小时</w:t>
            </w:r>
          </w:p>
        </w:tc>
      </w:tr>
      <w:tr>
        <w:tblPrEx>
          <w:tblLayout w:type="fixed"/>
          <w:tblCellMar>
            <w:top w:w="0" w:type="dxa"/>
            <w:left w:w="108" w:type="dxa"/>
            <w:bottom w:w="0" w:type="dxa"/>
            <w:right w:w="108" w:type="dxa"/>
          </w:tblCellMar>
        </w:tblPrEx>
        <w:trPr>
          <w:trHeight w:val="421" w:hRule="atLeast"/>
          <w:jc w:val="center"/>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静电保护</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具有防静电保护设计</w:t>
            </w:r>
          </w:p>
        </w:tc>
      </w:tr>
      <w:tr>
        <w:tblPrEx>
          <w:tblLayout w:type="fixed"/>
          <w:tblCellMar>
            <w:top w:w="0" w:type="dxa"/>
            <w:left w:w="108" w:type="dxa"/>
            <w:bottom w:w="0" w:type="dxa"/>
            <w:right w:w="108" w:type="dxa"/>
          </w:tblCellMar>
        </w:tblPrEx>
        <w:trPr>
          <w:trHeight w:val="440" w:hRule="atLeast"/>
          <w:jc w:val="center"/>
        </w:trPr>
        <w:tc>
          <w:tcPr>
            <w:tcW w:w="81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售后服务</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产品整体提供原厂3年质保</w:t>
            </w:r>
          </w:p>
        </w:tc>
      </w:tr>
      <w:tr>
        <w:tblPrEx>
          <w:tblLayout w:type="fixed"/>
          <w:tblCellMar>
            <w:top w:w="0" w:type="dxa"/>
            <w:left w:w="108" w:type="dxa"/>
            <w:bottom w:w="0" w:type="dxa"/>
            <w:right w:w="108" w:type="dxa"/>
          </w:tblCellMar>
        </w:tblPrEx>
        <w:trPr>
          <w:trHeight w:val="330" w:hRule="atLeast"/>
          <w:jc w:val="center"/>
        </w:trPr>
        <w:tc>
          <w:tcPr>
            <w:tcW w:w="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质量保证</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产品化</w:t>
            </w:r>
          </w:p>
        </w:tc>
        <w:tc>
          <w:tcPr>
            <w:tcW w:w="5444"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提供完整、明确产品包装</w:t>
            </w:r>
          </w:p>
        </w:tc>
      </w:tr>
      <w:tr>
        <w:tblPrEx>
          <w:tblLayout w:type="fixed"/>
          <w:tblCellMar>
            <w:top w:w="0" w:type="dxa"/>
            <w:left w:w="108" w:type="dxa"/>
            <w:bottom w:w="0" w:type="dxa"/>
            <w:right w:w="108" w:type="dxa"/>
          </w:tblCellMar>
        </w:tblPrEx>
        <w:trPr>
          <w:trHeight w:val="330" w:hRule="atLeast"/>
          <w:jc w:val="center"/>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功能独立性</w:t>
            </w:r>
          </w:p>
        </w:tc>
        <w:tc>
          <w:tcPr>
            <w:tcW w:w="5444"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各个模块功能的调用互不影响，任一个模块出现故障，不影响其它模块正常使用</w:t>
            </w:r>
          </w:p>
        </w:tc>
      </w:tr>
      <w:tr>
        <w:tblPrEx>
          <w:tblLayout w:type="fixed"/>
          <w:tblCellMar>
            <w:top w:w="0" w:type="dxa"/>
            <w:left w:w="108" w:type="dxa"/>
            <w:bottom w:w="0" w:type="dxa"/>
            <w:right w:w="108" w:type="dxa"/>
          </w:tblCellMar>
        </w:tblPrEx>
        <w:trPr>
          <w:trHeight w:val="449" w:hRule="atLeast"/>
          <w:jc w:val="center"/>
        </w:trPr>
        <w:tc>
          <w:tcPr>
            <w:tcW w:w="81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功能独立性</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模块单独替换</w:t>
            </w:r>
          </w:p>
        </w:tc>
        <w:tc>
          <w:tcPr>
            <w:tcW w:w="5444"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支持对单个故障模块进行更换</w:t>
            </w:r>
          </w:p>
        </w:tc>
      </w:tr>
      <w:tr>
        <w:tblPrEx>
          <w:tblLayout w:type="fixed"/>
          <w:tblCellMar>
            <w:top w:w="0" w:type="dxa"/>
            <w:left w:w="108" w:type="dxa"/>
            <w:bottom w:w="0" w:type="dxa"/>
            <w:right w:w="108" w:type="dxa"/>
          </w:tblCellMar>
        </w:tblPrEx>
        <w:trPr>
          <w:trHeight w:val="428" w:hRule="atLeast"/>
          <w:jc w:val="center"/>
        </w:trPr>
        <w:tc>
          <w:tcPr>
            <w:tcW w:w="8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模块集成后的性能</w:t>
            </w:r>
          </w:p>
        </w:tc>
        <w:tc>
          <w:tcPr>
            <w:tcW w:w="544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集成后的模块的性能不低于集成前单独设备的性能</w:t>
            </w:r>
          </w:p>
        </w:tc>
      </w:tr>
    </w:tbl>
    <w:p>
      <w:pPr>
        <w:jc w:val="center"/>
        <w:rPr>
          <w:rFonts w:ascii="方正小标宋简体" w:eastAsia="方正小标宋简体"/>
          <w:color w:val="000000" w:themeColor="text1"/>
          <w:highlight w:val="none"/>
        </w:rPr>
      </w:pPr>
    </w:p>
    <w:p>
      <w:pPr>
        <w:spacing w:line="320" w:lineRule="exact"/>
        <w:jc w:val="left"/>
        <w:rPr>
          <w:rFonts w:ascii="Times New Roman" w:hAnsi="Times New Roman" w:cs="Times New Roman"/>
          <w:color w:val="000000" w:themeColor="text1"/>
          <w:spacing w:val="-1"/>
          <w:highlight w:val="none"/>
          <w:lang w:val="ru-RU"/>
        </w:rPr>
      </w:pPr>
    </w:p>
    <w:p>
      <w:pPr>
        <w:spacing w:line="320" w:lineRule="exact"/>
        <w:jc w:val="left"/>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spacing w:line="360" w:lineRule="auto"/>
        <w:jc w:val="center"/>
        <w:rPr>
          <w:rFonts w:ascii="方正楷体_GBK" w:hAnsi="等线 Light" w:eastAsia="方正楷体_GBK" w:cs="Times New Roman"/>
          <w:b/>
          <w:bCs/>
          <w:color w:val="000000" w:themeColor="text1"/>
          <w:sz w:val="44"/>
          <w:szCs w:val="44"/>
          <w:highlight w:val="none"/>
        </w:rPr>
      </w:pPr>
    </w:p>
    <w:p>
      <w:pPr>
        <w:spacing w:line="360" w:lineRule="auto"/>
        <w:jc w:val="center"/>
        <w:rPr>
          <w:rFonts w:ascii="方正楷体_GBK" w:hAnsi="等线 Light" w:eastAsia="方正楷体_GBK" w:cs="Times New Roman"/>
          <w:b/>
          <w:bCs/>
          <w:color w:val="000000" w:themeColor="text1"/>
          <w:sz w:val="44"/>
          <w:szCs w:val="44"/>
          <w:highlight w:val="none"/>
        </w:rPr>
        <w:sectPr>
          <w:headerReference r:id="rId18" w:type="default"/>
          <w:footerReference r:id="rId19" w:type="default"/>
          <w:pgSz w:w="11906" w:h="16838"/>
          <w:pgMar w:top="1440" w:right="1800" w:bottom="1440" w:left="1800" w:header="851" w:footer="992" w:gutter="0"/>
          <w:cols w:space="425" w:num="1"/>
          <w:docGrid w:type="lines" w:linePitch="312" w:charSpace="0"/>
        </w:sectPr>
      </w:pPr>
    </w:p>
    <w:p>
      <w:pPr>
        <w:keepNext/>
        <w:keepLines/>
        <w:spacing w:line="360" w:lineRule="auto"/>
        <w:outlineLvl w:val="0"/>
        <w:rPr>
          <w:rFonts w:ascii="Calibri" w:hAnsi="Calibri" w:eastAsia="黑体" w:cs="Times New Roman"/>
          <w:b/>
          <w:bCs/>
          <w:color w:val="000000" w:themeColor="text1"/>
          <w:kern w:val="44"/>
          <w:sz w:val="44"/>
          <w:szCs w:val="44"/>
          <w:highlight w:val="none"/>
        </w:rPr>
      </w:pPr>
      <w:bookmarkStart w:id="224" w:name="_Toc385581881"/>
      <w:bookmarkStart w:id="225" w:name="_Toc489972857"/>
    </w:p>
    <w:p>
      <w:pPr>
        <w:keepNext/>
        <w:keepLines/>
        <w:spacing w:line="360" w:lineRule="auto"/>
        <w:ind w:firstLine="883" w:firstLineChars="200"/>
        <w:jc w:val="center"/>
        <w:outlineLvl w:val="0"/>
        <w:rPr>
          <w:rFonts w:ascii="Calibri" w:hAnsi="Calibri" w:eastAsia="黑体" w:cs="Times New Roman"/>
          <w:b/>
          <w:bCs/>
          <w:color w:val="000000" w:themeColor="text1"/>
          <w:kern w:val="44"/>
          <w:sz w:val="44"/>
          <w:szCs w:val="44"/>
          <w:highlight w:val="none"/>
        </w:rPr>
      </w:pPr>
      <w:r>
        <w:rPr>
          <w:rFonts w:ascii="Calibri" w:hAnsi="Calibri" w:eastAsia="黑体" w:cs="Times New Roman"/>
          <w:b/>
          <w:bCs/>
          <w:color w:val="000000" w:themeColor="text1"/>
          <w:kern w:val="44"/>
          <w:sz w:val="44"/>
          <w:szCs w:val="44"/>
          <w:highlight w:val="none"/>
        </w:rPr>
        <w:t>第六章</w:t>
      </w:r>
      <w:bookmarkEnd w:id="224"/>
      <w:r>
        <w:rPr>
          <w:rFonts w:ascii="Calibri" w:hAnsi="Calibri" w:eastAsia="黑体" w:cs="Times New Roman"/>
          <w:b/>
          <w:bCs/>
          <w:color w:val="000000" w:themeColor="text1"/>
          <w:kern w:val="44"/>
          <w:sz w:val="44"/>
          <w:szCs w:val="44"/>
          <w:highlight w:val="none"/>
        </w:rPr>
        <w:t>　投标文件格式</w:t>
      </w:r>
      <w:bookmarkEnd w:id="225"/>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color w:val="000000" w:themeColor="text1"/>
          <w:highlight w:val="none"/>
        </w:rPr>
        <w:sectPr>
          <w:headerReference r:id="rId20" w:type="default"/>
          <w:footerReference r:id="rId21" w:type="default"/>
          <w:pgSz w:w="11906" w:h="16838"/>
          <w:pgMar w:top="1440" w:right="1797" w:bottom="993" w:left="1644" w:header="851" w:footer="992" w:gutter="0"/>
          <w:cols w:space="720" w:num="1"/>
          <w:docGrid w:type="lines" w:linePitch="312" w:charSpace="0"/>
        </w:sectPr>
      </w:pPr>
      <w:r>
        <w:rPr>
          <w:rFonts w:ascii="Times New Roman" w:hAnsi="Times New Roman" w:eastAsia="宋体" w:cs="Times New Roman"/>
          <w:color w:val="000000" w:themeColor="text1"/>
          <w:highlight w:val="none"/>
        </w:rPr>
        <w:br w:type="page"/>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项目名称</w:t>
      </w:r>
      <w:r>
        <w:rPr>
          <w:rFonts w:hint="eastAsia" w:ascii="Times New Roman" w:hAnsi="Times New Roman" w:eastAsia="宋体" w:cs="Times New Roman"/>
          <w:b/>
          <w:color w:val="000000" w:themeColor="text1"/>
          <w:sz w:val="28"/>
          <w:szCs w:val="24"/>
          <w:highlight w:val="none"/>
        </w:rPr>
        <w:t>及分包号</w:t>
      </w:r>
      <w:r>
        <w:rPr>
          <w:rFonts w:ascii="Times New Roman" w:hAnsi="Times New Roman" w:eastAsia="宋体" w:cs="Times New Roman"/>
          <w:b/>
          <w:color w:val="000000" w:themeColor="text1"/>
          <w:sz w:val="28"/>
          <w:szCs w:val="24"/>
          <w:highlight w:val="none"/>
        </w:rPr>
        <w:t>：</w:t>
      </w:r>
    </w:p>
    <w:p>
      <w:pPr>
        <w:tabs>
          <w:tab w:val="left" w:pos="3600"/>
          <w:tab w:val="left" w:pos="4480"/>
          <w:tab w:val="left" w:pos="536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（标注正本或副本处）</w:t>
      </w:r>
    </w:p>
    <w:p>
      <w:pPr>
        <w:tabs>
          <w:tab w:val="left" w:pos="6080"/>
          <w:tab w:val="left" w:pos="6640"/>
        </w:tabs>
        <w:autoSpaceDE w:val="0"/>
        <w:autoSpaceDN w:val="0"/>
        <w:adjustRightInd w:val="0"/>
        <w:snapToGrid w:val="0"/>
        <w:spacing w:line="400" w:lineRule="exact"/>
        <w:jc w:val="right"/>
        <w:rPr>
          <w:rFonts w:ascii="Times New Roman" w:hAnsi="Times New Roman" w:eastAsia="宋体" w:cs="Times New Roman"/>
          <w:b/>
          <w:color w:val="000000" w:themeColor="text1"/>
          <w:sz w:val="28"/>
          <w:szCs w:val="24"/>
          <w:highlight w:val="none"/>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rPr>
      </w:pP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b/>
          <w:color w:val="000000" w:themeColor="text1"/>
          <w:sz w:val="84"/>
          <w:szCs w:val="24"/>
          <w:highlight w:val="none"/>
        </w:rPr>
      </w:pPr>
      <w:r>
        <w:rPr>
          <w:rFonts w:ascii="Times New Roman" w:hAnsi="Times New Roman" w:eastAsia="宋体" w:cs="Times New Roman"/>
          <w:b/>
          <w:color w:val="000000" w:themeColor="text1"/>
          <w:sz w:val="84"/>
          <w:szCs w:val="24"/>
          <w:highlight w:val="none"/>
        </w:rPr>
        <w:t>投标文件</w:t>
      </w:r>
    </w:p>
    <w:p>
      <w:pPr>
        <w:tabs>
          <w:tab w:val="left" w:pos="0"/>
          <w:tab w:val="left" w:pos="851"/>
          <w:tab w:val="left" w:pos="4480"/>
        </w:tabs>
        <w:autoSpaceDE w:val="0"/>
        <w:autoSpaceDN w:val="0"/>
        <w:adjustRightInd w:val="0"/>
        <w:snapToGrid w:val="0"/>
        <w:spacing w:line="840" w:lineRule="exact"/>
        <w:jc w:val="center"/>
        <w:rPr>
          <w:rFonts w:ascii="Times New Roman"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投标人全称</w:t>
      </w:r>
      <w:r>
        <w:rPr>
          <w:rFonts w:ascii="Times New Roman" w:hAnsi="Times New Roman" w:eastAsia="宋体" w:cs="Times New Roman"/>
          <w:b/>
          <w:color w:val="000000" w:themeColor="text1"/>
          <w:spacing w:val="1"/>
          <w:sz w:val="28"/>
          <w:szCs w:val="24"/>
          <w:highlight w:val="none"/>
        </w:rPr>
        <w:t>：</w:t>
      </w:r>
      <w:r>
        <w:rPr>
          <w:rFonts w:ascii="Times New Roman" w:hAnsi="Times New Roman" w:eastAsia="宋体" w:cs="Times New Roman"/>
          <w:b/>
          <w:color w:val="000000" w:themeColor="text1"/>
          <w:sz w:val="28"/>
          <w:szCs w:val="24"/>
          <w:highlight w:val="none"/>
        </w:rPr>
        <w:t>（盖单位公章）</w:t>
      </w:r>
    </w:p>
    <w:p>
      <w:pPr>
        <w:tabs>
          <w:tab w:val="left" w:pos="6080"/>
          <w:tab w:val="left" w:pos="664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法定代表人或其委托代理人：（签字</w:t>
      </w:r>
      <w:r>
        <w:rPr>
          <w:rFonts w:ascii="Times New Roman" w:hAnsi="Times New Roman" w:eastAsia="宋体" w:cs="Times New Roman"/>
          <w:b/>
          <w:color w:val="000000" w:themeColor="text1"/>
          <w:sz w:val="28"/>
          <w:szCs w:val="21"/>
          <w:highlight w:val="none"/>
        </w:rPr>
        <w:t>或盖章</w:t>
      </w:r>
      <w:r>
        <w:rPr>
          <w:rFonts w:ascii="Times New Roman" w:hAnsi="Times New Roman" w:eastAsia="宋体" w:cs="Times New Roman"/>
          <w:b/>
          <w:color w:val="000000" w:themeColor="text1"/>
          <w:sz w:val="28"/>
          <w:szCs w:val="24"/>
          <w:highlight w:val="none"/>
        </w:rPr>
        <w:t>）</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投标人地址：</w:t>
      </w:r>
    </w:p>
    <w:p>
      <w:pPr>
        <w:tabs>
          <w:tab w:val="left" w:pos="3280"/>
          <w:tab w:val="left" w:pos="4680"/>
          <w:tab w:val="left" w:pos="6080"/>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u w:val="single"/>
        </w:rPr>
      </w:pPr>
      <w:r>
        <w:rPr>
          <w:rFonts w:ascii="Times New Roman" w:hAnsi="Times New Roman" w:eastAsia="宋体" w:cs="Times New Roman"/>
          <w:b/>
          <w:color w:val="000000" w:themeColor="text1"/>
          <w:sz w:val="28"/>
          <w:szCs w:val="24"/>
          <w:highlight w:val="none"/>
        </w:rPr>
        <w:t>联系电话：</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4"/>
          <w:highlight w:val="none"/>
        </w:rPr>
      </w:pPr>
      <w:r>
        <w:rPr>
          <w:rFonts w:ascii="Times New Roman" w:hAnsi="Times New Roman" w:eastAsia="宋体" w:cs="Times New Roman"/>
          <w:b/>
          <w:color w:val="000000" w:themeColor="text1"/>
          <w:sz w:val="28"/>
          <w:szCs w:val="24"/>
          <w:highlight w:val="none"/>
        </w:rPr>
        <w:t>年月日</w:t>
      </w:r>
    </w:p>
    <w:p>
      <w:pPr>
        <w:spacing w:line="400" w:lineRule="exact"/>
        <w:ind w:firstLine="720" w:firstLineChars="200"/>
        <w:rPr>
          <w:rFonts w:ascii="Times New Roman" w:hAnsi="Times New Roman" w:eastAsia="宋体" w:cs="Times New Roman"/>
          <w:color w:val="000000" w:themeColor="text1"/>
          <w:sz w:val="36"/>
          <w:szCs w:val="24"/>
          <w:highlight w:val="none"/>
        </w:rPr>
      </w:pPr>
    </w:p>
    <w:p>
      <w:pPr>
        <w:spacing w:line="400" w:lineRule="exact"/>
        <w:rPr>
          <w:rFonts w:ascii="Times New Roman" w:hAnsi="Times New Roman" w:eastAsia="宋体" w:cs="Times New Roman"/>
          <w:color w:val="000000" w:themeColor="text1"/>
          <w:sz w:val="36"/>
          <w:szCs w:val="24"/>
          <w:highlight w:val="none"/>
        </w:rPr>
      </w:pPr>
      <w:r>
        <w:rPr>
          <w:rFonts w:ascii="Times New Roman" w:hAnsi="Times New Roman" w:eastAsia="宋体" w:cs="Times New Roman"/>
          <w:color w:val="000000" w:themeColor="text1"/>
          <w:sz w:val="24"/>
          <w:szCs w:val="24"/>
          <w:highlight w:val="none"/>
        </w:rPr>
        <w:br w:type="page"/>
      </w:r>
    </w:p>
    <w:p>
      <w:pPr>
        <w:tabs>
          <w:tab w:val="left" w:pos="142"/>
        </w:tabs>
        <w:autoSpaceDE w:val="0"/>
        <w:autoSpaceDN w:val="0"/>
        <w:adjustRightInd w:val="0"/>
        <w:snapToGrid w:val="0"/>
        <w:spacing w:line="400" w:lineRule="exact"/>
        <w:jc w:val="center"/>
        <w:rPr>
          <w:rFonts w:ascii="Times New Roman" w:hAnsi="Times New Roman" w:eastAsia="宋体" w:cs="Times New Roman"/>
          <w:b/>
          <w:color w:val="000000" w:themeColor="text1"/>
          <w:sz w:val="28"/>
          <w:szCs w:val="28"/>
          <w:highlight w:val="none"/>
        </w:rPr>
      </w:pPr>
      <w:r>
        <w:rPr>
          <w:rFonts w:ascii="Times New Roman" w:hAnsi="Times New Roman" w:eastAsia="宋体" w:cs="Times New Roman"/>
          <w:b/>
          <w:color w:val="000000" w:themeColor="text1"/>
          <w:sz w:val="28"/>
          <w:szCs w:val="28"/>
          <w:highlight w:val="none"/>
        </w:rPr>
        <w:t>目录</w:t>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 w:val="28"/>
          <w:szCs w:val="28"/>
          <w:highlight w:val="none"/>
        </w:rPr>
      </w:pPr>
      <w:r>
        <w:rPr>
          <w:rFonts w:ascii="Times New Roman" w:hAnsi="Times New Roman" w:eastAsia="宋体" w:cs="Times New Roman"/>
          <w:b/>
          <w:color w:val="000000" w:themeColor="text1"/>
          <w:sz w:val="28"/>
          <w:szCs w:val="28"/>
          <w:highlight w:val="none"/>
        </w:rPr>
        <w:t>（投标人自拟）</w:t>
      </w:r>
    </w:p>
    <w:p>
      <w:pPr>
        <w:spacing w:line="400" w:lineRule="exact"/>
        <w:ind w:firstLine="720" w:firstLineChars="200"/>
        <w:rPr>
          <w:rFonts w:ascii="Times New Roman" w:hAnsi="Times New Roman" w:eastAsia="宋体" w:cs="Times New Roman"/>
          <w:color w:val="000000" w:themeColor="text1"/>
          <w:sz w:val="36"/>
          <w:szCs w:val="24"/>
          <w:highlight w:val="none"/>
        </w:rPr>
      </w:pP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36"/>
          <w:szCs w:val="24"/>
          <w:highlight w:val="none"/>
        </w:rPr>
        <w:br w:type="page"/>
      </w: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rPr>
      </w:pPr>
    </w:p>
    <w:p>
      <w:pPr>
        <w:tabs>
          <w:tab w:val="left" w:pos="142"/>
        </w:tabs>
        <w:autoSpaceDE w:val="0"/>
        <w:autoSpaceDN w:val="0"/>
        <w:adjustRightInd w:val="0"/>
        <w:snapToGrid w:val="0"/>
        <w:spacing w:line="400" w:lineRule="exact"/>
        <w:jc w:val="left"/>
        <w:rPr>
          <w:rFonts w:ascii="Times New Roman" w:hAnsi="Times New Roman" w:eastAsia="宋体" w:cs="Times New Roman"/>
          <w:b/>
          <w:color w:val="000000" w:themeColor="text1"/>
          <w:szCs w:val="28"/>
          <w:highlight w:val="none"/>
        </w:rPr>
      </w:pPr>
    </w:p>
    <w:p>
      <w:pPr>
        <w:spacing w:line="400" w:lineRule="exact"/>
        <w:jc w:val="center"/>
        <w:rPr>
          <w:rFonts w:ascii="Times New Roman" w:hAnsi="Times New Roman" w:eastAsia="宋体" w:cs="Times New Roman"/>
          <w:b/>
          <w:color w:val="000000" w:themeColor="text1"/>
          <w:sz w:val="44"/>
          <w:szCs w:val="44"/>
          <w:highlight w:val="none"/>
        </w:rPr>
      </w:pPr>
      <w:bookmarkStart w:id="226" w:name="_Toc354044647"/>
    </w:p>
    <w:p>
      <w:pPr>
        <w:spacing w:line="400" w:lineRule="exact"/>
        <w:jc w:val="center"/>
        <w:outlineLvl w:val="1"/>
        <w:rPr>
          <w:rFonts w:ascii="Times New Roman" w:hAnsi="Times New Roman" w:eastAsia="宋体" w:cs="Times New Roman"/>
          <w:b/>
          <w:color w:val="000000" w:themeColor="text1"/>
          <w:sz w:val="44"/>
          <w:szCs w:val="44"/>
          <w:highlight w:val="none"/>
        </w:rPr>
      </w:pPr>
      <w:bookmarkStart w:id="227" w:name="_Toc23062"/>
      <w:r>
        <w:rPr>
          <w:rFonts w:ascii="Times New Roman" w:hAnsi="Times New Roman" w:eastAsia="宋体" w:cs="Times New Roman"/>
          <w:b/>
          <w:color w:val="000000" w:themeColor="text1"/>
          <w:sz w:val="44"/>
          <w:szCs w:val="44"/>
          <w:highlight w:val="none"/>
        </w:rPr>
        <w:t>A：投标函</w:t>
      </w:r>
      <w:bookmarkEnd w:id="226"/>
      <w:r>
        <w:rPr>
          <w:rFonts w:ascii="Times New Roman" w:hAnsi="Times New Roman" w:eastAsia="宋体" w:cs="Times New Roman"/>
          <w:b/>
          <w:color w:val="000000" w:themeColor="text1"/>
          <w:sz w:val="44"/>
          <w:szCs w:val="44"/>
          <w:highlight w:val="none"/>
        </w:rPr>
        <w:t>部分</w:t>
      </w:r>
      <w:bookmarkEnd w:id="227"/>
    </w:p>
    <w:p>
      <w:pPr>
        <w:spacing w:line="400" w:lineRule="exact"/>
        <w:ind w:firstLine="420" w:firstLineChars="200"/>
        <w:jc w:val="center"/>
        <w:rPr>
          <w:rFonts w:ascii="Times New Roman" w:hAnsi="Times New Roman" w:eastAsia="宋体" w:cs="Times New Roman"/>
          <w:b/>
          <w:color w:val="000000" w:themeColor="text1"/>
          <w:sz w:val="32"/>
          <w:szCs w:val="32"/>
          <w:highlight w:val="none"/>
        </w:rPr>
      </w:pPr>
      <w:r>
        <w:rPr>
          <w:rFonts w:ascii="Times New Roman" w:hAnsi="Times New Roman" w:eastAsia="宋体" w:cs="Times New Roman"/>
          <w:color w:val="000000" w:themeColor="text1"/>
          <w:highlight w:val="none"/>
        </w:rPr>
        <w:br w:type="page"/>
      </w:r>
      <w:bookmarkStart w:id="228" w:name="_Toc11061"/>
      <w:r>
        <w:rPr>
          <w:rFonts w:ascii="Times New Roman" w:hAnsi="Times New Roman" w:eastAsia="宋体" w:cs="Times New Roman"/>
          <w:b/>
          <w:color w:val="000000" w:themeColor="text1"/>
          <w:sz w:val="32"/>
          <w:szCs w:val="32"/>
          <w:highlight w:val="none"/>
        </w:rPr>
        <w:t>1.投标函</w:t>
      </w:r>
      <w:bookmarkEnd w:id="228"/>
    </w:p>
    <w:p>
      <w:pPr>
        <w:spacing w:line="400" w:lineRule="exact"/>
        <w:jc w:val="left"/>
        <w:rPr>
          <w:rFonts w:ascii="Times New Roman" w:hAnsi="Times New Roman" w:eastAsia="宋体" w:cs="Times New Roman"/>
          <w:color w:val="000000" w:themeColor="text1"/>
          <w:sz w:val="24"/>
          <w:szCs w:val="21"/>
          <w:highlight w:val="none"/>
        </w:rPr>
      </w:pPr>
    </w:p>
    <w:p>
      <w:pPr>
        <w:spacing w:line="400" w:lineRule="exact"/>
        <w:jc w:val="left"/>
        <w:rPr>
          <w:rFonts w:ascii="Times New Roman" w:hAnsi="Times New Roman" w:eastAsia="宋体" w:cs="Times New Roman"/>
          <w:b/>
          <w:color w:val="000000" w:themeColor="text1"/>
          <w:sz w:val="24"/>
          <w:szCs w:val="21"/>
          <w:highlight w:val="none"/>
        </w:rPr>
      </w:pPr>
    </w:p>
    <w:p>
      <w:pPr>
        <w:spacing w:line="400" w:lineRule="exact"/>
        <w:ind w:firstLine="643" w:firstLineChars="200"/>
        <w:jc w:val="center"/>
        <w:rPr>
          <w:rFonts w:ascii="Times New Roman" w:hAnsi="Times New Roman" w:eastAsia="宋体" w:cs="Times New Roman"/>
          <w:b/>
          <w:color w:val="000000" w:themeColor="text1"/>
          <w:sz w:val="32"/>
          <w:szCs w:val="32"/>
          <w:highlight w:val="none"/>
        </w:rPr>
      </w:pPr>
    </w:p>
    <w:p>
      <w:pPr>
        <w:spacing w:line="400" w:lineRule="exact"/>
        <w:jc w:val="left"/>
        <w:rPr>
          <w:rFonts w:ascii="Times New Roman" w:hAnsi="Times New Roman" w:eastAsia="宋体" w:cs="Times New Roman"/>
          <w:b/>
          <w:color w:val="000000" w:themeColor="text1"/>
          <w:sz w:val="24"/>
          <w:szCs w:val="21"/>
          <w:highlight w:val="none"/>
        </w:rPr>
      </w:pPr>
      <w:r>
        <w:rPr>
          <w:rFonts w:hint="eastAsia" w:ascii="Times New Roman" w:hAnsi="Times New Roman" w:eastAsia="宋体" w:cs="Times New Roman"/>
          <w:b/>
          <w:color w:val="000000" w:themeColor="text1"/>
          <w:sz w:val="24"/>
          <w:szCs w:val="21"/>
          <w:highlight w:val="none"/>
        </w:rPr>
        <w:t>分包一</w:t>
      </w:r>
    </w:p>
    <w:p>
      <w:pPr>
        <w:spacing w:line="400" w:lineRule="exact"/>
        <w:ind w:firstLine="643" w:firstLineChars="200"/>
        <w:jc w:val="center"/>
        <w:rPr>
          <w:rFonts w:ascii="Times New Roman" w:hAnsi="Times New Roman" w:eastAsia="宋体" w:cs="Times New Roman"/>
          <w:b/>
          <w:color w:val="000000" w:themeColor="text1"/>
          <w:sz w:val="32"/>
          <w:szCs w:val="32"/>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u w:val="single"/>
        </w:rPr>
        <w:t>致：（招标人）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我方收到____________________________（项目名称）的招标文件，经详细研究，决定参加该项目</w:t>
      </w:r>
      <w:r>
        <w:rPr>
          <w:rFonts w:hint="eastAsia" w:ascii="Times New Roman" w:hAnsi="Times New Roman" w:eastAsia="宋体" w:cs="Times New Roman"/>
          <w:color w:val="000000" w:themeColor="text1"/>
          <w:sz w:val="24"/>
          <w:szCs w:val="21"/>
          <w:highlight w:val="none"/>
        </w:rPr>
        <w:t>分包一</w:t>
      </w:r>
      <w:r>
        <w:rPr>
          <w:rFonts w:ascii="Times New Roman" w:hAnsi="Times New Roman" w:eastAsia="宋体" w:cs="Times New Roman"/>
          <w:color w:val="000000" w:themeColor="text1"/>
          <w:sz w:val="24"/>
          <w:szCs w:val="21"/>
          <w:highlight w:val="none"/>
        </w:rPr>
        <w:t>的投标。</w:t>
      </w:r>
    </w:p>
    <w:p>
      <w:pPr>
        <w:tabs>
          <w:tab w:val="left" w:pos="6300"/>
        </w:tabs>
        <w:snapToGrid w:val="0"/>
        <w:spacing w:line="400" w:lineRule="exact"/>
        <w:ind w:left="80" w:leftChars="38" w:firstLine="600" w:firstLineChars="25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1、愿意按照招标文件中的一切要求，提供完成本项目的所有服务工作，投标总报价（整体包干价）为人民币大写：</w:t>
      </w:r>
      <w:r>
        <w:rPr>
          <w:rFonts w:hint="eastAsia" w:ascii="Times New Roman" w:hAnsi="Times New Roman" w:eastAsia="宋体" w:cs="Times New Roman"/>
          <w:color w:val="000000" w:themeColor="text1"/>
          <w:sz w:val="24"/>
          <w:szCs w:val="21"/>
          <w:highlight w:val="none"/>
        </w:rPr>
        <w:t>，</w:t>
      </w:r>
      <w:r>
        <w:rPr>
          <w:rFonts w:ascii="Times New Roman" w:hAnsi="Times New Roman" w:eastAsia="宋体" w:cs="Times New Roman"/>
          <w:color w:val="000000" w:themeColor="text1"/>
          <w:sz w:val="24"/>
          <w:szCs w:val="21"/>
          <w:highlight w:val="none"/>
        </w:rPr>
        <w:t>人民币小写：。</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2、我们现提交的投标文件：正本</w:t>
      </w:r>
      <w:r>
        <w:rPr>
          <w:rFonts w:hint="eastAsia" w:ascii="Times New Roman" w:hAnsi="Times New Roman" w:eastAsia="宋体" w:cs="Times New Roman"/>
          <w:color w:val="000000" w:themeColor="text1"/>
          <w:sz w:val="24"/>
          <w:szCs w:val="21"/>
          <w:highlight w:val="none"/>
          <w:u w:val="single"/>
        </w:rPr>
        <w:t>1</w:t>
      </w:r>
      <w:r>
        <w:rPr>
          <w:rFonts w:ascii="Times New Roman" w:hAnsi="Times New Roman" w:eastAsia="宋体" w:cs="Times New Roman"/>
          <w:color w:val="000000" w:themeColor="text1"/>
          <w:sz w:val="24"/>
          <w:szCs w:val="21"/>
          <w:highlight w:val="none"/>
        </w:rPr>
        <w:t>份，副本</w:t>
      </w:r>
      <w:r>
        <w:rPr>
          <w:rFonts w:hint="eastAsia" w:ascii="Times New Roman" w:hAnsi="Times New Roman" w:eastAsia="宋体" w:cs="Times New Roman"/>
          <w:color w:val="000000" w:themeColor="text1"/>
          <w:sz w:val="24"/>
          <w:szCs w:val="21"/>
          <w:highlight w:val="none"/>
          <w:u w:val="single"/>
        </w:rPr>
        <w:t>1</w:t>
      </w:r>
      <w:r>
        <w:rPr>
          <w:rFonts w:ascii="Times New Roman" w:hAnsi="Times New Roman" w:eastAsia="宋体" w:cs="Times New Roman"/>
          <w:color w:val="000000" w:themeColor="text1"/>
          <w:sz w:val="24"/>
          <w:szCs w:val="21"/>
          <w:highlight w:val="none"/>
        </w:rPr>
        <w:t>份，电子文本</w:t>
      </w:r>
      <w:r>
        <w:rPr>
          <w:rFonts w:hint="eastAsia" w:ascii="Times New Roman" w:hAnsi="Times New Roman" w:eastAsia="宋体" w:cs="Times New Roman"/>
          <w:color w:val="000000" w:themeColor="text1"/>
          <w:sz w:val="24"/>
          <w:szCs w:val="21"/>
          <w:highlight w:val="none"/>
          <w:u w:val="single"/>
        </w:rPr>
        <w:t>2</w:t>
      </w:r>
      <w:r>
        <w:rPr>
          <w:rFonts w:ascii="Times New Roman" w:hAnsi="Times New Roman" w:eastAsia="宋体" w:cs="Times New Roman"/>
          <w:color w:val="000000" w:themeColor="text1"/>
          <w:sz w:val="24"/>
          <w:szCs w:val="21"/>
          <w:highlight w:val="none"/>
        </w:rPr>
        <w:t>份。</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3、我们完全理解和接受贵方招标文件的一切规定和要求，完全答应招标文件中规定的所有条件和评审办法。</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4、在整个投标过程中，我方若有违规行为，贵方可按《中华人民共和招标投标法》等法律法规和《招标文件》之规定给予惩罚，我方完全接受。</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5、若我们成为中标人，我方将按照评标结果签订合同，并且严格履行合同义务。本投标函将成为合同不可分割的一部分，与合同具有同等的法律效力。</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6、我方同意按招标文件规定，交纳招标文件要求的投标保证金。如果我方成为中标人，保证在接到中标通知书时，向招标代理机构</w:t>
      </w:r>
      <w:r>
        <w:rPr>
          <w:rFonts w:hint="eastAsia" w:ascii="Times New Roman" w:hAnsi="Times New Roman" w:eastAsia="宋体" w:cs="Times New Roman"/>
          <w:color w:val="000000" w:themeColor="text1"/>
          <w:sz w:val="24"/>
          <w:szCs w:val="21"/>
          <w:highlight w:val="none"/>
        </w:rPr>
        <w:t>缴纳</w:t>
      </w:r>
      <w:r>
        <w:rPr>
          <w:rFonts w:ascii="Times New Roman" w:hAnsi="Times New Roman" w:eastAsia="宋体" w:cs="Times New Roman"/>
          <w:color w:val="000000" w:themeColor="text1"/>
          <w:sz w:val="24"/>
          <w:szCs w:val="21"/>
          <w:highlight w:val="none"/>
        </w:rPr>
        <w:t>采购代理服务费和向重庆联合产权交易所集团股份有限公司缴纳交易服务费。</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7、投标有效期为90日</w:t>
      </w:r>
      <w:r>
        <w:rPr>
          <w:rFonts w:hint="eastAsia" w:ascii="Times New Roman" w:hAnsi="Times New Roman" w:eastAsia="宋体" w:cs="Times New Roman"/>
          <w:color w:val="000000" w:themeColor="text1"/>
          <w:sz w:val="24"/>
          <w:szCs w:val="21"/>
          <w:highlight w:val="none"/>
        </w:rPr>
        <w:t>。</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57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投标人（公章）：</w:t>
      </w:r>
    </w:p>
    <w:p>
      <w:pPr>
        <w:spacing w:line="400" w:lineRule="exact"/>
        <w:ind w:firstLine="602" w:firstLineChars="25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法定代表人或其委托代理人：（盖章或签字）</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地址：</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电话：传真：</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邮编：</w:t>
      </w:r>
      <w:r>
        <w:rPr>
          <w:rFonts w:hint="eastAsia" w:ascii="Times New Roman" w:hAnsi="Times New Roman" w:eastAsia="宋体" w:cs="Times New Roman"/>
          <w:color w:val="000000" w:themeColor="text1"/>
          <w:sz w:val="24"/>
          <w:szCs w:val="21"/>
          <w:highlight w:val="none"/>
        </w:rPr>
        <w:t>邮箱：</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联系人：</w:t>
      </w:r>
    </w:p>
    <w:p>
      <w:pPr>
        <w:tabs>
          <w:tab w:val="left" w:pos="6300"/>
        </w:tabs>
        <w:snapToGrid w:val="0"/>
        <w:spacing w:line="400" w:lineRule="exact"/>
        <w:ind w:firstLine="1200" w:firstLineChars="50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ind w:firstLine="480" w:firstLineChars="200"/>
        <w:rPr>
          <w:rFonts w:ascii="Times New Roman" w:hAnsi="Times New Roman" w:eastAsia="宋体" w:cs="Times New Roman"/>
          <w:color w:val="000000" w:themeColor="text1"/>
          <w:sz w:val="24"/>
          <w:szCs w:val="24"/>
          <w:highlight w:val="none"/>
        </w:rPr>
      </w:pPr>
    </w:p>
    <w:p>
      <w:pPr>
        <w:spacing w:line="400" w:lineRule="exact"/>
        <w:ind w:firstLine="480" w:firstLineChars="200"/>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spacing w:line="400" w:lineRule="exact"/>
        <w:jc w:val="left"/>
        <w:rPr>
          <w:rFonts w:ascii="Times New Roman" w:hAnsi="Times New Roman" w:eastAsia="宋体" w:cs="Times New Roman"/>
          <w:b/>
          <w:color w:val="000000" w:themeColor="text1"/>
          <w:sz w:val="24"/>
          <w:szCs w:val="21"/>
          <w:highlight w:val="none"/>
        </w:rPr>
      </w:pPr>
      <w:r>
        <w:rPr>
          <w:rFonts w:hint="eastAsia" w:ascii="Times New Roman" w:hAnsi="Times New Roman" w:eastAsia="宋体" w:cs="Times New Roman"/>
          <w:b/>
          <w:color w:val="000000" w:themeColor="text1"/>
          <w:sz w:val="24"/>
          <w:szCs w:val="21"/>
          <w:highlight w:val="none"/>
        </w:rPr>
        <w:t>分包二</w:t>
      </w:r>
    </w:p>
    <w:p>
      <w:pPr>
        <w:spacing w:line="400" w:lineRule="exact"/>
        <w:ind w:firstLine="643" w:firstLineChars="200"/>
        <w:jc w:val="center"/>
        <w:rPr>
          <w:rFonts w:ascii="Times New Roman" w:hAnsi="Times New Roman" w:eastAsia="宋体" w:cs="Times New Roman"/>
          <w:b/>
          <w:color w:val="000000" w:themeColor="text1"/>
          <w:sz w:val="32"/>
          <w:szCs w:val="32"/>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u w:val="single"/>
        </w:rPr>
        <w:t>致：（招标人）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我方收到____________________________（项目名称）的招标文件，经详细研究，决定参加该项目</w:t>
      </w:r>
      <w:r>
        <w:rPr>
          <w:rFonts w:hint="eastAsia" w:ascii="Times New Roman" w:hAnsi="Times New Roman" w:eastAsia="宋体" w:cs="Times New Roman"/>
          <w:color w:val="000000" w:themeColor="text1"/>
          <w:sz w:val="24"/>
          <w:szCs w:val="21"/>
          <w:highlight w:val="none"/>
        </w:rPr>
        <w:t>分包二</w:t>
      </w:r>
      <w:r>
        <w:rPr>
          <w:rFonts w:ascii="Times New Roman" w:hAnsi="Times New Roman" w:eastAsia="宋体" w:cs="Times New Roman"/>
          <w:color w:val="000000" w:themeColor="text1"/>
          <w:sz w:val="24"/>
          <w:szCs w:val="21"/>
          <w:highlight w:val="none"/>
        </w:rPr>
        <w:t>的投标。</w:t>
      </w:r>
    </w:p>
    <w:p>
      <w:pPr>
        <w:tabs>
          <w:tab w:val="left" w:pos="6300"/>
        </w:tabs>
        <w:snapToGrid w:val="0"/>
        <w:spacing w:line="400" w:lineRule="exact"/>
        <w:ind w:left="80" w:leftChars="38" w:firstLine="600" w:firstLineChars="25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1、愿意按照招标文件中的一切要求，提供完成本项目的所有服务工作，投标总报价（整体包干价）为人民币大写：</w:t>
      </w:r>
      <w:r>
        <w:rPr>
          <w:rFonts w:hint="eastAsia" w:ascii="Times New Roman" w:hAnsi="Times New Roman" w:eastAsia="宋体" w:cs="Times New Roman"/>
          <w:color w:val="000000" w:themeColor="text1"/>
          <w:sz w:val="24"/>
          <w:szCs w:val="21"/>
          <w:highlight w:val="none"/>
        </w:rPr>
        <w:t>，</w:t>
      </w:r>
      <w:r>
        <w:rPr>
          <w:rFonts w:ascii="Times New Roman" w:hAnsi="Times New Roman" w:eastAsia="宋体" w:cs="Times New Roman"/>
          <w:color w:val="000000" w:themeColor="text1"/>
          <w:sz w:val="24"/>
          <w:szCs w:val="21"/>
          <w:highlight w:val="none"/>
        </w:rPr>
        <w:t>人民币小写：。</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2、我们现提交的投标文件：正本</w:t>
      </w:r>
      <w:r>
        <w:rPr>
          <w:rFonts w:hint="eastAsia" w:ascii="Times New Roman" w:hAnsi="Times New Roman" w:eastAsia="宋体" w:cs="Times New Roman"/>
          <w:color w:val="000000" w:themeColor="text1"/>
          <w:sz w:val="24"/>
          <w:szCs w:val="21"/>
          <w:highlight w:val="none"/>
          <w:u w:val="single"/>
        </w:rPr>
        <w:t>1</w:t>
      </w:r>
      <w:r>
        <w:rPr>
          <w:rFonts w:ascii="Times New Roman" w:hAnsi="Times New Roman" w:eastAsia="宋体" w:cs="Times New Roman"/>
          <w:color w:val="000000" w:themeColor="text1"/>
          <w:sz w:val="24"/>
          <w:szCs w:val="21"/>
          <w:highlight w:val="none"/>
        </w:rPr>
        <w:t>份，副本</w:t>
      </w:r>
      <w:r>
        <w:rPr>
          <w:rFonts w:hint="eastAsia" w:ascii="Times New Roman" w:hAnsi="Times New Roman" w:eastAsia="宋体" w:cs="Times New Roman"/>
          <w:color w:val="000000" w:themeColor="text1"/>
          <w:sz w:val="24"/>
          <w:szCs w:val="21"/>
          <w:highlight w:val="none"/>
          <w:u w:val="single"/>
        </w:rPr>
        <w:t>1</w:t>
      </w:r>
      <w:r>
        <w:rPr>
          <w:rFonts w:ascii="Times New Roman" w:hAnsi="Times New Roman" w:eastAsia="宋体" w:cs="Times New Roman"/>
          <w:color w:val="000000" w:themeColor="text1"/>
          <w:sz w:val="24"/>
          <w:szCs w:val="21"/>
          <w:highlight w:val="none"/>
        </w:rPr>
        <w:t>份，电子文本</w:t>
      </w:r>
      <w:r>
        <w:rPr>
          <w:rFonts w:hint="eastAsia" w:ascii="Times New Roman" w:hAnsi="Times New Roman" w:eastAsia="宋体" w:cs="Times New Roman"/>
          <w:color w:val="000000" w:themeColor="text1"/>
          <w:sz w:val="24"/>
          <w:szCs w:val="21"/>
          <w:highlight w:val="none"/>
          <w:u w:val="single"/>
        </w:rPr>
        <w:t>2</w:t>
      </w:r>
      <w:r>
        <w:rPr>
          <w:rFonts w:ascii="Times New Roman" w:hAnsi="Times New Roman" w:eastAsia="宋体" w:cs="Times New Roman"/>
          <w:color w:val="000000" w:themeColor="text1"/>
          <w:sz w:val="24"/>
          <w:szCs w:val="21"/>
          <w:highlight w:val="none"/>
        </w:rPr>
        <w:t>份。</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3、我们完全理解和接受贵方招标文件的一切规定和要求，完全答应招标文件中规定的所有条件和评审办法。</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4、在整个投标过程中，我方若有违规行为，贵方可按《中华人民共和招标投标法》等法律法规和《招标文件》之规定给予惩罚，我方完全接受。</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5、若我们成为中标人，我方将按照评标结果签订合同，并且严格履行合同义务。本投标函将成为合同不可分割的一部分，与合同具有同等的法律效力。</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6、我方同意按招标文件规定，交纳招标文件要求的投标保证金。如果我方成为中标人，保证在接到中标通知书时，向招标代理机构</w:t>
      </w:r>
      <w:r>
        <w:rPr>
          <w:rFonts w:hint="eastAsia" w:ascii="Times New Roman" w:hAnsi="Times New Roman" w:eastAsia="宋体" w:cs="Times New Roman"/>
          <w:color w:val="000000" w:themeColor="text1"/>
          <w:sz w:val="24"/>
          <w:szCs w:val="21"/>
          <w:highlight w:val="none"/>
        </w:rPr>
        <w:t>缴纳</w:t>
      </w:r>
      <w:r>
        <w:rPr>
          <w:rFonts w:ascii="Times New Roman" w:hAnsi="Times New Roman" w:eastAsia="宋体" w:cs="Times New Roman"/>
          <w:color w:val="000000" w:themeColor="text1"/>
          <w:sz w:val="24"/>
          <w:szCs w:val="21"/>
          <w:highlight w:val="none"/>
        </w:rPr>
        <w:t>采购代理服务费和向重庆联合产权交易所集团股份有限公司缴纳交易服务费。</w:t>
      </w:r>
    </w:p>
    <w:p>
      <w:pPr>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7、投标有效期为90日</w:t>
      </w:r>
      <w:r>
        <w:rPr>
          <w:rFonts w:hint="eastAsia" w:ascii="Times New Roman" w:hAnsi="Times New Roman" w:eastAsia="宋体" w:cs="Times New Roman"/>
          <w:color w:val="000000" w:themeColor="text1"/>
          <w:sz w:val="24"/>
          <w:szCs w:val="21"/>
          <w:highlight w:val="none"/>
        </w:rPr>
        <w:t>。</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57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投标人（公章）：</w:t>
      </w:r>
    </w:p>
    <w:p>
      <w:pPr>
        <w:spacing w:line="400" w:lineRule="exact"/>
        <w:ind w:firstLine="602" w:firstLineChars="250"/>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法定代表人或其委托代理人：（盖章或签字）</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地址：</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电话：传真：</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邮编：</w:t>
      </w:r>
      <w:r>
        <w:rPr>
          <w:rFonts w:hint="eastAsia" w:ascii="Times New Roman" w:hAnsi="Times New Roman" w:eastAsia="宋体" w:cs="Times New Roman"/>
          <w:color w:val="000000" w:themeColor="text1"/>
          <w:sz w:val="24"/>
          <w:szCs w:val="21"/>
          <w:highlight w:val="none"/>
        </w:rPr>
        <w:t>邮箱：</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联系人：</w:t>
      </w:r>
    </w:p>
    <w:p>
      <w:pPr>
        <w:tabs>
          <w:tab w:val="left" w:pos="6300"/>
        </w:tabs>
        <w:snapToGrid w:val="0"/>
        <w:spacing w:line="400" w:lineRule="exact"/>
        <w:ind w:firstLine="570"/>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ind w:firstLine="480" w:firstLineChars="200"/>
        <w:rPr>
          <w:rFonts w:ascii="Times New Roman" w:hAnsi="Times New Roman" w:eastAsia="宋体" w:cs="Times New Roman"/>
          <w:color w:val="000000" w:themeColor="text1"/>
          <w:sz w:val="24"/>
          <w:szCs w:val="24"/>
          <w:highlight w:val="none"/>
        </w:rPr>
      </w:pPr>
    </w:p>
    <w:p>
      <w:pPr>
        <w:spacing w:line="400" w:lineRule="exact"/>
        <w:ind w:firstLine="480" w:firstLineChars="200"/>
        <w:rPr>
          <w:rFonts w:ascii="Times New Roman" w:hAnsi="Times New Roman" w:eastAsia="宋体" w:cs="Times New Roman"/>
          <w:color w:val="000000" w:themeColor="text1"/>
          <w:sz w:val="24"/>
          <w:szCs w:val="24"/>
          <w:highlight w:val="none"/>
        </w:rPr>
      </w:pPr>
    </w:p>
    <w:p>
      <w:pPr>
        <w:spacing w:line="400" w:lineRule="exact"/>
        <w:ind w:firstLine="480" w:firstLineChars="200"/>
        <w:rPr>
          <w:rFonts w:ascii="Times New Roman" w:hAnsi="Times New Roman" w:eastAsia="宋体" w:cs="Times New Roman"/>
          <w:color w:val="000000" w:themeColor="text1"/>
          <w:sz w:val="24"/>
          <w:szCs w:val="24"/>
          <w:highlight w:val="none"/>
        </w:rPr>
      </w:pPr>
    </w:p>
    <w:p>
      <w:pPr>
        <w:jc w:val="center"/>
        <w:rPr>
          <w:color w:val="000000" w:themeColor="text1"/>
          <w:highlight w:val="none"/>
        </w:rPr>
      </w:pPr>
      <w:r>
        <w:rPr>
          <w:rFonts w:ascii="Times New Roman" w:hAnsi="Times New Roman" w:eastAsia="宋体" w:cs="Times New Roman"/>
          <w:color w:val="000000" w:themeColor="text1"/>
          <w:sz w:val="24"/>
          <w:szCs w:val="24"/>
          <w:highlight w:val="none"/>
        </w:rPr>
        <w:br w:type="page"/>
      </w:r>
      <w:r>
        <w:rPr>
          <w:rFonts w:ascii="Times New Roman" w:hAnsi="Times New Roman" w:eastAsia="宋体" w:cs="Times New Roman"/>
          <w:color w:val="000000" w:themeColor="text1"/>
          <w:sz w:val="32"/>
          <w:szCs w:val="32"/>
          <w:highlight w:val="none"/>
        </w:rPr>
        <w:t>1.1</w:t>
      </w:r>
      <w:r>
        <w:rPr>
          <w:rFonts w:ascii="Times New Roman" w:hAnsi="Times New Roman" w:eastAsia="宋体" w:cs="Times New Roman"/>
          <w:b/>
          <w:color w:val="000000" w:themeColor="text1"/>
          <w:sz w:val="32"/>
          <w:szCs w:val="32"/>
          <w:highlight w:val="none"/>
        </w:rPr>
        <w:t>报价明细表</w:t>
      </w:r>
    </w:p>
    <w:p>
      <w:pPr>
        <w:pStyle w:val="12"/>
        <w:rPr>
          <w:color w:val="000000" w:themeColor="text1"/>
          <w:highlight w:val="none"/>
        </w:rPr>
      </w:pPr>
      <w:r>
        <w:rPr>
          <w:rFonts w:hint="eastAsia" w:ascii="Times New Roman" w:hAnsi="Times New Roman" w:cs="Times New Roman"/>
          <w:color w:val="000000" w:themeColor="text1"/>
          <w:spacing w:val="-1"/>
          <w:highlight w:val="none"/>
          <w:lang w:val="ru-RU"/>
        </w:rPr>
        <w:t>分包一：移动展业平台软件开发</w:t>
      </w:r>
    </w:p>
    <w:tbl>
      <w:tblPr>
        <w:tblStyle w:val="5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3"/>
        <w:gridCol w:w="3652"/>
        <w:gridCol w:w="29"/>
        <w:gridCol w:w="36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998"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序号</w:t>
            </w:r>
          </w:p>
        </w:tc>
        <w:tc>
          <w:tcPr>
            <w:tcW w:w="3681"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采购内容</w:t>
            </w:r>
          </w:p>
        </w:tc>
        <w:tc>
          <w:tcPr>
            <w:tcW w:w="4819" w:type="dxa"/>
            <w:gridSpan w:val="2"/>
            <w:vAlign w:val="center"/>
          </w:tcPr>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投标总报价</w:t>
            </w:r>
          </w:p>
          <w:p>
            <w:pPr>
              <w:adjustRightInd w:val="0"/>
              <w:snapToGrid w:val="0"/>
              <w:spacing w:line="400" w:lineRule="exact"/>
              <w:jc w:val="center"/>
              <w:rPr>
                <w:rFonts w:ascii="宋体" w:hAnsi="宋体" w:eastAsia="宋体" w:cs="宋体"/>
                <w:b/>
                <w:color w:val="000000" w:themeColor="text1"/>
                <w:kern w:val="0"/>
                <w:sz w:val="22"/>
                <w:szCs w:val="28"/>
                <w:highlight w:val="none"/>
              </w:rPr>
            </w:pPr>
            <w:r>
              <w:rPr>
                <w:rFonts w:hint="eastAsia" w:ascii="宋体" w:hAnsi="宋体" w:eastAsia="宋体" w:cs="宋体"/>
                <w:b/>
                <w:color w:val="000000" w:themeColor="text1"/>
                <w:kern w:val="0"/>
                <w:sz w:val="22"/>
                <w:szCs w:val="28"/>
                <w:highlight w:val="none"/>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98" w:type="dxa"/>
            <w:gridSpan w:val="2"/>
            <w:vAlign w:val="center"/>
          </w:tcPr>
          <w:p>
            <w:pPr>
              <w:adjustRightInd w:val="0"/>
              <w:snapToGrid w:val="0"/>
              <w:spacing w:line="400" w:lineRule="exact"/>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1</w:t>
            </w:r>
          </w:p>
        </w:tc>
        <w:tc>
          <w:tcPr>
            <w:tcW w:w="3681" w:type="dxa"/>
            <w:gridSpan w:val="2"/>
            <w:vAlign w:val="center"/>
          </w:tcPr>
          <w:p>
            <w:pPr>
              <w:adjustRightInd w:val="0"/>
              <w:snapToGrid w:val="0"/>
              <w:spacing w:line="320" w:lineRule="exact"/>
              <w:jc w:val="center"/>
              <w:rPr>
                <w:rFonts w:ascii="宋体" w:hAnsi="宋体" w:eastAsia="宋体" w:cs="Times New Roman"/>
                <w:color w:val="000000" w:themeColor="text1"/>
                <w:sz w:val="22"/>
                <w:highlight w:val="none"/>
              </w:rPr>
            </w:pPr>
            <w:r>
              <w:rPr>
                <w:rFonts w:hint="eastAsia" w:ascii="Times New Roman" w:hAnsi="Times New Roman" w:cs="Times New Roman"/>
                <w:color w:val="000000" w:themeColor="text1"/>
                <w:spacing w:val="-1"/>
                <w:highlight w:val="none"/>
                <w:lang w:val="ru-RU"/>
              </w:rPr>
              <w:t>移动展业平台软件开发</w:t>
            </w:r>
          </w:p>
        </w:tc>
        <w:tc>
          <w:tcPr>
            <w:tcW w:w="4819" w:type="dxa"/>
            <w:gridSpan w:val="2"/>
            <w:vAlign w:val="center"/>
          </w:tcPr>
          <w:p>
            <w:pPr>
              <w:adjustRightInd w:val="0"/>
              <w:snapToGrid w:val="0"/>
              <w:spacing w:line="400" w:lineRule="exact"/>
              <w:jc w:val="left"/>
              <w:rPr>
                <w:rFonts w:ascii="宋体" w:hAnsi="宋体" w:eastAsia="宋体" w:cs="宋体"/>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9" w:hRule="atLeast"/>
        </w:trPr>
        <w:tc>
          <w:tcPr>
            <w:tcW w:w="4679" w:type="dxa"/>
            <w:gridSpan w:val="4"/>
            <w:tcBorders>
              <w:bottom w:val="single" w:color="auto" w:sz="4" w:space="0"/>
            </w:tcBorders>
            <w:vAlign w:val="center"/>
          </w:tcPr>
          <w:p>
            <w:pPr>
              <w:widowControl/>
              <w:jc w:val="center"/>
              <w:rPr>
                <w:color w:val="000000" w:themeColor="text1"/>
                <w:highlight w:val="none"/>
              </w:rPr>
            </w:pPr>
            <w:r>
              <w:rPr>
                <w:rFonts w:hint="eastAsia" w:ascii="宋体" w:hAnsi="宋体" w:eastAsia="宋体" w:cs="宋体"/>
                <w:b/>
                <w:color w:val="000000" w:themeColor="text1"/>
                <w:kern w:val="0"/>
                <w:sz w:val="22"/>
                <w:szCs w:val="28"/>
                <w:highlight w:val="none"/>
              </w:rPr>
              <w:t>投标总报价</w:t>
            </w:r>
            <w:r>
              <w:rPr>
                <w:rFonts w:hint="eastAsia" w:ascii="宋体" w:hAnsi="宋体" w:eastAsia="宋体" w:cs="Times New Roman"/>
                <w:b/>
                <w:color w:val="000000" w:themeColor="text1"/>
                <w:sz w:val="22"/>
                <w:szCs w:val="28"/>
                <w:highlight w:val="none"/>
              </w:rPr>
              <w:t>（人民币大写）</w:t>
            </w:r>
          </w:p>
        </w:tc>
        <w:tc>
          <w:tcPr>
            <w:tcW w:w="4819" w:type="dxa"/>
            <w:gridSpan w:val="2"/>
            <w:tcBorders>
              <w:bottom w:val="single" w:color="auto" w:sz="4" w:space="0"/>
            </w:tcBorders>
            <w:vAlign w:val="center"/>
          </w:tcPr>
          <w:p>
            <w:pPr>
              <w:widowControl/>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498" w:type="dxa"/>
            <w:gridSpan w:val="6"/>
            <w:shd w:val="clear" w:color="auto" w:fill="A5A5A5" w:themeFill="background1" w:themeFillShade="A6"/>
            <w:vAlign w:val="center"/>
          </w:tcPr>
          <w:p>
            <w:pPr>
              <w:widowControl/>
              <w:jc w:val="center"/>
              <w:rPr>
                <w:color w:val="000000" w:themeColor="text1"/>
                <w:highlight w:val="none"/>
              </w:rPr>
            </w:pPr>
            <w:r>
              <w:rPr>
                <w:rFonts w:hint="eastAsia"/>
                <w:color w:val="000000" w:themeColor="text1"/>
                <w:highlight w:val="none"/>
              </w:rPr>
              <w:t>以下费用不计入总报价，但要进行评审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序号</w:t>
            </w:r>
          </w:p>
        </w:tc>
        <w:tc>
          <w:tcPr>
            <w:tcW w:w="3675" w:type="dxa"/>
            <w:gridSpan w:val="2"/>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采购内容</w:t>
            </w:r>
          </w:p>
        </w:tc>
        <w:tc>
          <w:tcPr>
            <w:tcW w:w="3714" w:type="dxa"/>
            <w:gridSpan w:val="2"/>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投标报价</w:t>
            </w:r>
          </w:p>
        </w:tc>
        <w:tc>
          <w:tcPr>
            <w:tcW w:w="1134" w:type="dxa"/>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2</w:t>
            </w:r>
          </w:p>
        </w:tc>
        <w:tc>
          <w:tcPr>
            <w:tcW w:w="3675" w:type="dxa"/>
            <w:gridSpan w:val="2"/>
            <w:shd w:val="clear" w:color="auto" w:fill="FFFFFF" w:themeFill="background1"/>
            <w:vAlign w:val="center"/>
          </w:tcPr>
          <w:p>
            <w:pPr>
              <w:widowControl/>
              <w:jc w:val="left"/>
              <w:rPr>
                <w:color w:val="000000" w:themeColor="text1"/>
                <w:highlight w:val="none"/>
              </w:rPr>
            </w:pPr>
            <w:r>
              <w:rPr>
                <w:rFonts w:hint="eastAsia" w:ascii="Times New Roman" w:hAnsi="Times New Roman" w:eastAsia="宋体" w:cs="Times New Roman"/>
                <w:color w:val="000000" w:themeColor="text1"/>
                <w:szCs w:val="21"/>
                <w:highlight w:val="none"/>
              </w:rPr>
              <w:t>优惠赠送人月数量</w:t>
            </w:r>
          </w:p>
        </w:tc>
        <w:tc>
          <w:tcPr>
            <w:tcW w:w="3714" w:type="dxa"/>
            <w:gridSpan w:val="2"/>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人月</w:t>
            </w:r>
          </w:p>
        </w:tc>
        <w:tc>
          <w:tcPr>
            <w:tcW w:w="1134" w:type="dxa"/>
            <w:shd w:val="clear" w:color="auto" w:fill="FFFFFF" w:themeFill="background1"/>
            <w:vAlign w:val="center"/>
          </w:tcPr>
          <w:p>
            <w:pPr>
              <w:widowControl/>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3</w:t>
            </w:r>
          </w:p>
        </w:tc>
        <w:tc>
          <w:tcPr>
            <w:tcW w:w="3675" w:type="dxa"/>
            <w:gridSpan w:val="2"/>
            <w:shd w:val="clear" w:color="auto" w:fill="FFFFFF" w:themeFill="background1"/>
            <w:vAlign w:val="center"/>
          </w:tcPr>
          <w:p>
            <w:pPr>
              <w:widowControl/>
              <w:jc w:val="left"/>
              <w:rPr>
                <w:color w:val="000000" w:themeColor="text1"/>
                <w:highlight w:val="none"/>
              </w:rPr>
            </w:pPr>
            <w:r>
              <w:rPr>
                <w:rFonts w:hint="eastAsia" w:ascii="Times New Roman" w:hAnsi="Times New Roman" w:eastAsia="宋体" w:cs="Times New Roman"/>
                <w:color w:val="000000" w:themeColor="text1"/>
                <w:szCs w:val="21"/>
                <w:highlight w:val="none"/>
              </w:rPr>
              <w:t>免费维保期后的年维保费率</w:t>
            </w:r>
          </w:p>
        </w:tc>
        <w:tc>
          <w:tcPr>
            <w:tcW w:w="3714" w:type="dxa"/>
            <w:gridSpan w:val="2"/>
            <w:shd w:val="clear" w:color="auto" w:fill="FFFFFF" w:themeFill="background1"/>
            <w:vAlign w:val="center"/>
          </w:tcPr>
          <w:p>
            <w:pPr>
              <w:widowControl/>
              <w:jc w:val="center"/>
              <w:rPr>
                <w:color w:val="000000" w:themeColor="text1"/>
                <w:highlight w:val="none"/>
              </w:rPr>
            </w:pPr>
            <w:r>
              <w:rPr>
                <w:rFonts w:hint="eastAsia" w:ascii="Times New Roman" w:hAnsi="Times New Roman" w:eastAsia="宋体" w:cs="Times New Roman"/>
                <w:color w:val="000000" w:themeColor="text1"/>
                <w:szCs w:val="21"/>
                <w:highlight w:val="none"/>
              </w:rPr>
              <w:t>投标总报价的%</w:t>
            </w:r>
          </w:p>
        </w:tc>
        <w:tc>
          <w:tcPr>
            <w:tcW w:w="1134" w:type="dxa"/>
            <w:shd w:val="clear" w:color="auto" w:fill="FFFFFF" w:themeFill="background1"/>
            <w:vAlign w:val="center"/>
          </w:tcPr>
          <w:p>
            <w:pPr>
              <w:widowControl/>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498" w:type="dxa"/>
            <w:gridSpan w:val="6"/>
            <w:shd w:val="clear" w:color="auto" w:fill="FFFFFF" w:themeFill="background1"/>
            <w:vAlign w:val="center"/>
          </w:tcPr>
          <w:p>
            <w:pPr>
              <w:widowControl/>
              <w:jc w:val="center"/>
              <w:rPr>
                <w:color w:val="000000" w:themeColor="text1"/>
                <w:highlight w:val="none"/>
                <w:shd w:val="pct10" w:color="auto" w:fill="FFFFFF"/>
              </w:rPr>
            </w:pPr>
            <w:r>
              <w:rPr>
                <w:rFonts w:hint="eastAsia"/>
                <w:color w:val="000000" w:themeColor="text1"/>
                <w:highlight w:val="none"/>
                <w:shd w:val="pct10" w:color="auto" w:fill="FFFFFF"/>
              </w:rPr>
              <w:t>以下费用不计入总报价也不进行评审，但须填列响应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975" w:type="dxa"/>
            <w:shd w:val="clear" w:color="auto" w:fill="FFFFFF" w:themeFill="background1"/>
            <w:vAlign w:val="center"/>
          </w:tcPr>
          <w:p>
            <w:pPr>
              <w:widowControl/>
              <w:jc w:val="center"/>
              <w:rPr>
                <w:color w:val="000000" w:themeColor="text1"/>
                <w:highlight w:val="none"/>
              </w:rPr>
            </w:pPr>
            <w:r>
              <w:rPr>
                <w:rFonts w:hint="eastAsia"/>
                <w:color w:val="000000" w:themeColor="text1"/>
                <w:highlight w:val="none"/>
              </w:rPr>
              <w:t>4</w:t>
            </w:r>
          </w:p>
        </w:tc>
        <w:tc>
          <w:tcPr>
            <w:tcW w:w="3675" w:type="dxa"/>
            <w:gridSpan w:val="2"/>
            <w:shd w:val="clear" w:color="auto" w:fill="FFFFFF" w:themeFill="background1"/>
            <w:vAlign w:val="center"/>
          </w:tcPr>
          <w:p>
            <w:pPr>
              <w:widowControl/>
              <w:jc w:val="left"/>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新增需求人月单价(未来三年内)</w:t>
            </w:r>
          </w:p>
        </w:tc>
        <w:tc>
          <w:tcPr>
            <w:tcW w:w="3714" w:type="dxa"/>
            <w:gridSpan w:val="2"/>
            <w:shd w:val="clear" w:color="auto" w:fill="FFFFFF" w:themeFill="background1"/>
            <w:vAlign w:val="center"/>
          </w:tcPr>
          <w:p>
            <w:pPr>
              <w:widowControl/>
              <w:jc w:val="center"/>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______万元/人月</w:t>
            </w:r>
          </w:p>
        </w:tc>
        <w:tc>
          <w:tcPr>
            <w:tcW w:w="1134" w:type="dxa"/>
            <w:shd w:val="clear" w:color="auto" w:fill="FFFFFF" w:themeFill="background1"/>
            <w:vAlign w:val="center"/>
          </w:tcPr>
          <w:p>
            <w:pPr>
              <w:widowControl/>
              <w:jc w:val="center"/>
              <w:rPr>
                <w:color w:val="000000" w:themeColor="text1"/>
                <w:highlight w:val="none"/>
              </w:rPr>
            </w:pPr>
          </w:p>
        </w:tc>
      </w:tr>
    </w:tbl>
    <w:p>
      <w:pPr>
        <w:tabs>
          <w:tab w:val="left" w:pos="6300"/>
        </w:tabs>
        <w:snapToGrid w:val="0"/>
        <w:spacing w:line="360" w:lineRule="exact"/>
        <w:rPr>
          <w:rFonts w:ascii="宋体" w:hAnsi="宋体" w:eastAsia="宋体" w:cs="Times New Roman"/>
          <w:b/>
          <w:color w:val="000000" w:themeColor="text1"/>
          <w:szCs w:val="21"/>
          <w:highlight w:val="none"/>
        </w:rPr>
      </w:pPr>
    </w:p>
    <w:p>
      <w:pPr>
        <w:tabs>
          <w:tab w:val="left" w:pos="6300"/>
        </w:tabs>
        <w:snapToGrid w:val="0"/>
        <w:spacing w:line="360" w:lineRule="exact"/>
        <w:rPr>
          <w:rFonts w:ascii="宋体" w:hAnsi="宋体" w:eastAsia="宋体" w:cs="Times New Roman"/>
          <w:b/>
          <w:color w:val="000000" w:themeColor="text1"/>
          <w:szCs w:val="21"/>
          <w:highlight w:val="none"/>
        </w:rPr>
      </w:pPr>
    </w:p>
    <w:p>
      <w:pPr>
        <w:tabs>
          <w:tab w:val="left" w:pos="6300"/>
        </w:tabs>
        <w:snapToGrid w:val="0"/>
        <w:spacing w:line="36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投标人：（公章）</w:t>
      </w:r>
    </w:p>
    <w:p>
      <w:pPr>
        <w:spacing w:line="360" w:lineRule="exact"/>
        <w:rPr>
          <w:rFonts w:ascii="宋体" w:hAnsi="宋体" w:eastAsia="宋体" w:cs="Times New Roman"/>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spacing w:line="360" w:lineRule="exact"/>
        <w:ind w:firstLine="1890" w:firstLineChars="9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Cs w:val="21"/>
          <w:highlight w:val="none"/>
        </w:rPr>
        <w:t>年   月   日</w:t>
      </w:r>
    </w:p>
    <w:p>
      <w:pPr>
        <w:widowControl/>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widowControl/>
        <w:jc w:val="left"/>
        <w:rPr>
          <w:rFonts w:ascii="Times New Roman" w:hAnsi="Times New Roman" w:eastAsia="宋体" w:cs="Times New Roman"/>
          <w:color w:val="000000" w:themeColor="text1"/>
          <w:sz w:val="24"/>
          <w:szCs w:val="24"/>
          <w:highlight w:val="none"/>
        </w:rPr>
      </w:pPr>
    </w:p>
    <w:p>
      <w:pPr>
        <w:widowControl/>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分包二：移动展业平台配套硬件</w:t>
      </w:r>
    </w:p>
    <w:p>
      <w:pPr>
        <w:widowControl/>
        <w:jc w:val="left"/>
        <w:rPr>
          <w:rFonts w:ascii="Times New Roman" w:hAnsi="Times New Roman" w:cs="Times New Roman"/>
          <w:color w:val="000000" w:themeColor="text1"/>
          <w:spacing w:val="-1"/>
          <w:highlight w:val="none"/>
          <w:lang w:val="ru-RU"/>
        </w:rPr>
      </w:pPr>
    </w:p>
    <w:tbl>
      <w:tblPr>
        <w:tblStyle w:val="56"/>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32"/>
        <w:gridCol w:w="1769"/>
        <w:gridCol w:w="648"/>
        <w:gridCol w:w="1443"/>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0"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序号</w:t>
            </w:r>
          </w:p>
        </w:tc>
        <w:tc>
          <w:tcPr>
            <w:tcW w:w="1332"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宋体" w:hAnsi="宋体" w:eastAsia="宋体" w:cs="宋体"/>
                <w:b/>
                <w:color w:val="000000" w:themeColor="text1"/>
                <w:kern w:val="0"/>
                <w:sz w:val="22"/>
                <w:szCs w:val="28"/>
                <w:highlight w:val="none"/>
              </w:rPr>
              <w:t>采购内容</w:t>
            </w:r>
          </w:p>
        </w:tc>
        <w:tc>
          <w:tcPr>
            <w:tcW w:w="2417" w:type="dxa"/>
            <w:gridSpan w:val="2"/>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拟采购数量（台）</w:t>
            </w:r>
          </w:p>
        </w:tc>
        <w:tc>
          <w:tcPr>
            <w:tcW w:w="1443"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产品单价（元/台）</w:t>
            </w:r>
          </w:p>
        </w:tc>
        <w:tc>
          <w:tcPr>
            <w:tcW w:w="1444"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小计</w:t>
            </w:r>
          </w:p>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（万元）</w:t>
            </w:r>
          </w:p>
        </w:tc>
        <w:tc>
          <w:tcPr>
            <w:tcW w:w="1444"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80"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1</w:t>
            </w:r>
          </w:p>
        </w:tc>
        <w:tc>
          <w:tcPr>
            <w:tcW w:w="1332" w:type="dxa"/>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cs="Times New Roman"/>
                <w:color w:val="000000" w:themeColor="text1"/>
                <w:highlight w:val="none"/>
                <w:lang w:val="ru-RU"/>
              </w:rPr>
              <w:t>移动背夹</w:t>
            </w:r>
          </w:p>
        </w:tc>
        <w:tc>
          <w:tcPr>
            <w:tcW w:w="2417" w:type="dxa"/>
            <w:gridSpan w:val="2"/>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cs="Times New Roman"/>
                <w:color w:val="000000" w:themeColor="text1"/>
                <w:highlight w:val="none"/>
                <w:lang w:val="ru-RU"/>
              </w:rPr>
              <w:t>200</w:t>
            </w:r>
          </w:p>
        </w:tc>
        <w:tc>
          <w:tcPr>
            <w:tcW w:w="1443" w:type="dxa"/>
          </w:tcPr>
          <w:p>
            <w:pPr>
              <w:widowControl/>
              <w:jc w:val="left"/>
              <w:rPr>
                <w:rFonts w:ascii="Times New Roman" w:hAnsi="Times New Roman" w:eastAsia="宋体" w:cs="Times New Roman"/>
                <w:color w:val="000000" w:themeColor="text1"/>
                <w:sz w:val="24"/>
                <w:szCs w:val="24"/>
                <w:highlight w:val="none"/>
              </w:rPr>
            </w:pPr>
          </w:p>
        </w:tc>
        <w:tc>
          <w:tcPr>
            <w:tcW w:w="1444" w:type="dxa"/>
          </w:tcPr>
          <w:p>
            <w:pPr>
              <w:widowControl/>
              <w:jc w:val="left"/>
              <w:rPr>
                <w:rFonts w:ascii="Times New Roman" w:hAnsi="Times New Roman" w:eastAsia="宋体" w:cs="Times New Roman"/>
                <w:color w:val="000000" w:themeColor="text1"/>
                <w:sz w:val="24"/>
                <w:szCs w:val="24"/>
                <w:highlight w:val="none"/>
              </w:rPr>
            </w:pPr>
          </w:p>
        </w:tc>
        <w:tc>
          <w:tcPr>
            <w:tcW w:w="1444" w:type="dxa"/>
          </w:tcPr>
          <w:p>
            <w:pPr>
              <w:widowControl/>
              <w:jc w:val="left"/>
              <w:rPr>
                <w:rFonts w:ascii="Times New Roman" w:hAnsi="Times New Roman" w:eastAsia="宋体" w:cs="Times New Roman"/>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772" w:type="dxa"/>
            <w:gridSpan w:val="5"/>
            <w:vAlign w:val="center"/>
          </w:tcPr>
          <w:p>
            <w:pPr>
              <w:widowControl/>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合计（即投标总报价人民币小写，单位：万元）</w:t>
            </w:r>
          </w:p>
        </w:tc>
        <w:tc>
          <w:tcPr>
            <w:tcW w:w="1444" w:type="dxa"/>
          </w:tcPr>
          <w:p>
            <w:pPr>
              <w:widowControl/>
              <w:jc w:val="left"/>
              <w:rPr>
                <w:rFonts w:ascii="Times New Roman" w:hAnsi="Times New Roman" w:eastAsia="宋体" w:cs="Times New Roman"/>
                <w:color w:val="000000" w:themeColor="text1"/>
                <w:sz w:val="24"/>
                <w:szCs w:val="24"/>
                <w:highlight w:val="none"/>
              </w:rPr>
            </w:pPr>
          </w:p>
        </w:tc>
        <w:tc>
          <w:tcPr>
            <w:tcW w:w="1444" w:type="dxa"/>
          </w:tcPr>
          <w:p>
            <w:pPr>
              <w:widowControl/>
              <w:jc w:val="left"/>
              <w:rPr>
                <w:rFonts w:ascii="Times New Roman" w:hAnsi="Times New Roman" w:eastAsia="宋体" w:cs="Times New Roman"/>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681" w:type="dxa"/>
            <w:gridSpan w:val="3"/>
            <w:vAlign w:val="center"/>
          </w:tcPr>
          <w:p>
            <w:pPr>
              <w:widowControl/>
              <w:jc w:val="center"/>
              <w:rPr>
                <w:rFonts w:ascii="Times New Roman" w:hAnsi="Times New Roman" w:eastAsia="宋体" w:cs="Times New Roman"/>
                <w:color w:val="000000" w:themeColor="text1"/>
                <w:sz w:val="24"/>
                <w:szCs w:val="24"/>
                <w:highlight w:val="none"/>
              </w:rPr>
            </w:pPr>
            <w:r>
              <w:rPr>
                <w:rFonts w:hint="eastAsia" w:ascii="Times New Roman" w:hAnsi="Times New Roman" w:eastAsia="宋体" w:cs="Times New Roman"/>
                <w:color w:val="000000" w:themeColor="text1"/>
                <w:sz w:val="24"/>
                <w:szCs w:val="24"/>
                <w:highlight w:val="none"/>
              </w:rPr>
              <w:t>合计（即投标总报价人民币大写）</w:t>
            </w:r>
          </w:p>
        </w:tc>
        <w:tc>
          <w:tcPr>
            <w:tcW w:w="3535" w:type="dxa"/>
            <w:gridSpan w:val="3"/>
            <w:vAlign w:val="center"/>
          </w:tcPr>
          <w:p>
            <w:pPr>
              <w:widowControl/>
              <w:jc w:val="center"/>
              <w:rPr>
                <w:rFonts w:ascii="Times New Roman" w:hAnsi="Times New Roman" w:eastAsia="宋体" w:cs="Times New Roman"/>
                <w:color w:val="000000" w:themeColor="text1"/>
                <w:sz w:val="24"/>
                <w:szCs w:val="24"/>
                <w:highlight w:val="none"/>
              </w:rPr>
            </w:pPr>
          </w:p>
        </w:tc>
        <w:tc>
          <w:tcPr>
            <w:tcW w:w="1444" w:type="dxa"/>
          </w:tcPr>
          <w:p>
            <w:pPr>
              <w:widowControl/>
              <w:jc w:val="left"/>
              <w:rPr>
                <w:rFonts w:ascii="Times New Roman" w:hAnsi="Times New Roman" w:eastAsia="宋体" w:cs="Times New Roman"/>
                <w:color w:val="000000" w:themeColor="text1"/>
                <w:sz w:val="24"/>
                <w:szCs w:val="24"/>
                <w:highlight w:val="none"/>
              </w:rPr>
            </w:pPr>
          </w:p>
        </w:tc>
      </w:tr>
    </w:tbl>
    <w:p>
      <w:pPr>
        <w:widowControl/>
        <w:jc w:val="left"/>
        <w:rPr>
          <w:rFonts w:ascii="Times New Roman" w:hAnsi="Times New Roman" w:eastAsia="宋体" w:cs="Times New Roman"/>
          <w:color w:val="000000" w:themeColor="text1"/>
          <w:sz w:val="24"/>
          <w:szCs w:val="24"/>
          <w:highlight w:val="none"/>
        </w:rPr>
      </w:pPr>
    </w:p>
    <w:p>
      <w:pPr>
        <w:widowControl/>
        <w:jc w:val="left"/>
        <w:rPr>
          <w:rFonts w:ascii="Times New Roman" w:hAnsi="Times New Roman" w:eastAsia="宋体" w:cs="Times New Roman"/>
          <w:color w:val="000000" w:themeColor="text1"/>
          <w:sz w:val="24"/>
          <w:szCs w:val="24"/>
          <w:highlight w:val="none"/>
        </w:rPr>
      </w:pPr>
    </w:p>
    <w:p>
      <w:pPr>
        <w:tabs>
          <w:tab w:val="left" w:pos="6300"/>
        </w:tabs>
        <w:snapToGrid w:val="0"/>
        <w:spacing w:line="36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投标人：（公章）</w:t>
      </w:r>
    </w:p>
    <w:p>
      <w:pPr>
        <w:spacing w:line="360" w:lineRule="exact"/>
        <w:rPr>
          <w:rFonts w:ascii="宋体" w:hAnsi="宋体" w:eastAsia="宋体" w:cs="Times New Roman"/>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spacing w:line="360" w:lineRule="exact"/>
        <w:ind w:firstLine="1890" w:firstLineChars="900"/>
        <w:rPr>
          <w:rFonts w:ascii="Times New Roman" w:hAnsi="Times New Roman" w:eastAsia="宋体" w:cs="Times New Roman"/>
          <w:color w:val="000000" w:themeColor="text1"/>
          <w:sz w:val="24"/>
          <w:szCs w:val="24"/>
          <w:highlight w:val="none"/>
        </w:rPr>
      </w:pPr>
      <w:r>
        <w:rPr>
          <w:rFonts w:hint="eastAsia" w:ascii="宋体" w:hAnsi="宋体" w:eastAsia="宋体" w:cs="Times New Roman"/>
          <w:color w:val="000000" w:themeColor="text1"/>
          <w:szCs w:val="21"/>
          <w:highlight w:val="none"/>
        </w:rPr>
        <w:t>年   月   日</w:t>
      </w:r>
    </w:p>
    <w:p>
      <w:pPr>
        <w:widowControl/>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spacing w:line="400" w:lineRule="exact"/>
        <w:rPr>
          <w:rFonts w:ascii="Times New Roman" w:hAnsi="Times New Roman" w:eastAsia="宋体" w:cs="Times New Roman"/>
          <w:color w:val="000000" w:themeColor="text1"/>
          <w:sz w:val="24"/>
          <w:szCs w:val="24"/>
          <w:highlight w:val="none"/>
        </w:rPr>
      </w:pP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rPr>
      </w:pPr>
      <w:bookmarkStart w:id="229" w:name="_Toc419964633"/>
      <w:bookmarkStart w:id="230" w:name="_Toc26439"/>
      <w:r>
        <w:rPr>
          <w:rFonts w:ascii="Times New Roman" w:hAnsi="Times New Roman" w:eastAsia="宋体" w:cs="Times New Roman"/>
          <w:b/>
          <w:bCs/>
          <w:color w:val="000000" w:themeColor="text1"/>
          <w:kern w:val="0"/>
          <w:sz w:val="24"/>
          <w:szCs w:val="21"/>
          <w:highlight w:val="none"/>
        </w:rPr>
        <w:t>2.法定代表人身份证明书</w:t>
      </w:r>
      <w:bookmarkEnd w:id="229"/>
      <w:bookmarkEnd w:id="230"/>
    </w:p>
    <w:p>
      <w:pPr>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jc w:val="center"/>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法定代表人身份证明书（格式）</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640" w:firstLineChars="267"/>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（法定代表人姓名）在（投标人名称）任（职务名称）职务，是__________________（投标人名称）的法定代表人。</w:t>
      </w: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ind w:firstLine="460" w:firstLineChars="192"/>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特此证明。</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bl>
      <w:tblPr>
        <w:tblStyle w:val="55"/>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此处粘贴“法定代表人身份证双面复印件”</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spacing w:line="400" w:lineRule="exact"/>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投标人:（公章）</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rPr>
          <w:rFonts w:ascii="Times New Roman" w:hAnsi="Times New Roman" w:eastAsia="宋体" w:cs="Times New Roman"/>
          <w:color w:val="000000" w:themeColor="text1"/>
          <w:sz w:val="32"/>
          <w:szCs w:val="24"/>
          <w:highlight w:val="none"/>
        </w:rPr>
      </w:pPr>
    </w:p>
    <w:p>
      <w:pPr>
        <w:spacing w:line="400" w:lineRule="exact"/>
        <w:rPr>
          <w:rFonts w:ascii="Times New Roman" w:hAnsi="Times New Roman" w:eastAsia="宋体" w:cs="Times New Roman"/>
          <w:color w:val="000000" w:themeColor="text1"/>
          <w:sz w:val="40"/>
          <w:szCs w:val="24"/>
          <w:highlight w:val="none"/>
        </w:rPr>
      </w:pPr>
      <w:r>
        <w:rPr>
          <w:rFonts w:ascii="Times New Roman" w:hAnsi="Times New Roman" w:eastAsia="宋体" w:cs="Times New Roman"/>
          <w:color w:val="000000" w:themeColor="text1"/>
          <w:sz w:val="32"/>
          <w:szCs w:val="24"/>
          <w:highlight w:val="none"/>
        </w:rPr>
        <w:br w:type="page"/>
      </w:r>
    </w:p>
    <w:p>
      <w:pPr>
        <w:keepNext/>
        <w:keepLines/>
        <w:tabs>
          <w:tab w:val="left" w:pos="1418"/>
        </w:tabs>
        <w:spacing w:line="400" w:lineRule="exact"/>
        <w:ind w:firstLine="284"/>
        <w:outlineLvl w:val="2"/>
        <w:rPr>
          <w:rFonts w:ascii="Times New Roman" w:hAnsi="Times New Roman" w:eastAsia="宋体" w:cs="Times New Roman"/>
          <w:b/>
          <w:bCs/>
          <w:color w:val="000000" w:themeColor="text1"/>
          <w:kern w:val="0"/>
          <w:sz w:val="24"/>
          <w:szCs w:val="21"/>
          <w:highlight w:val="none"/>
        </w:rPr>
      </w:pPr>
      <w:bookmarkStart w:id="231" w:name="_Toc419964634"/>
      <w:bookmarkStart w:id="232" w:name="_Toc20966"/>
      <w:r>
        <w:rPr>
          <w:rFonts w:ascii="Times New Roman" w:hAnsi="Times New Roman" w:eastAsia="宋体" w:cs="Times New Roman"/>
          <w:b/>
          <w:bCs/>
          <w:color w:val="000000" w:themeColor="text1"/>
          <w:kern w:val="0"/>
          <w:sz w:val="24"/>
          <w:szCs w:val="21"/>
          <w:highlight w:val="none"/>
        </w:rPr>
        <w:t>3.法定代表人授权委托书</w:t>
      </w:r>
      <w:bookmarkEnd w:id="231"/>
      <w:bookmarkEnd w:id="232"/>
    </w:p>
    <w:p>
      <w:pPr>
        <w:spacing w:line="400" w:lineRule="exact"/>
        <w:jc w:val="center"/>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法定代表人授权委托书（格式）</w:t>
      </w:r>
    </w:p>
    <w:p>
      <w:pPr>
        <w:spacing w:line="400" w:lineRule="exact"/>
        <w:jc w:val="center"/>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致：</w:t>
      </w:r>
      <w:r>
        <w:rPr>
          <w:rFonts w:ascii="Times New Roman" w:hAnsi="Times New Roman" w:eastAsia="宋体" w:cs="Times New Roman"/>
          <w:color w:val="000000" w:themeColor="text1"/>
          <w:sz w:val="24"/>
          <w:szCs w:val="21"/>
          <w:highlight w:val="none"/>
          <w:u w:val="single"/>
        </w:rPr>
        <w:t>（招标人）</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____________（投标人名称）是中华人民共和国合法企业，法定地址__________。</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_________（投标人法定代表人姓名）特授权_________（被授权人姓名及身份证代码）代表我单位全权办理对上述项目的投标、签约等具体工作，并签署全部有关的文件、协议及合同。</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我单位对被授权人的签名负全部责任。</w:t>
      </w:r>
    </w:p>
    <w:p>
      <w:pPr>
        <w:tabs>
          <w:tab w:val="left" w:pos="6300"/>
        </w:tabs>
        <w:snapToGrid w:val="0"/>
        <w:spacing w:line="400" w:lineRule="exact"/>
        <w:ind w:firstLine="555"/>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bl>
      <w:tblPr>
        <w:tblStyle w:val="55"/>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此处粘贴“被授权人身份证双面复印”</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tc>
      </w:tr>
    </w:tbl>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tabs>
          <w:tab w:val="left" w:pos="6300"/>
        </w:tabs>
        <w:snapToGrid w:val="0"/>
        <w:spacing w:line="400" w:lineRule="exact"/>
        <w:rPr>
          <w:rFonts w:ascii="Times New Roman" w:hAnsi="Times New Roman" w:eastAsia="宋体" w:cs="Times New Roman"/>
          <w:b/>
          <w:color w:val="000000" w:themeColor="text1"/>
          <w:sz w:val="24"/>
          <w:szCs w:val="21"/>
          <w:highlight w:val="none"/>
        </w:rPr>
      </w:pPr>
      <w:r>
        <w:rPr>
          <w:rFonts w:ascii="Times New Roman" w:hAnsi="Times New Roman" w:eastAsia="宋体" w:cs="Times New Roman"/>
          <w:b/>
          <w:color w:val="000000" w:themeColor="text1"/>
          <w:sz w:val="24"/>
          <w:szCs w:val="21"/>
          <w:highlight w:val="none"/>
        </w:rPr>
        <w:t>被授权人签名或盖章：法定代表人签名或盖章：</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职务：职务：</w:t>
      </w:r>
    </w:p>
    <w:p>
      <w:pPr>
        <w:tabs>
          <w:tab w:val="left" w:pos="6300"/>
        </w:tabs>
        <w:snapToGrid w:val="0"/>
        <w:spacing w:line="400" w:lineRule="exact"/>
        <w:rPr>
          <w:rFonts w:ascii="Times New Roman" w:hAnsi="Times New Roman" w:eastAsia="宋体" w:cs="Times New Roman"/>
          <w:color w:val="000000" w:themeColor="text1"/>
          <w:sz w:val="24"/>
          <w:szCs w:val="21"/>
          <w:highlight w:val="none"/>
        </w:rPr>
      </w:pPr>
    </w:p>
    <w:p>
      <w:pPr>
        <w:snapToGrid w:val="0"/>
        <w:spacing w:line="400" w:lineRule="exact"/>
        <w:rPr>
          <w:rFonts w:ascii="Times New Roman" w:hAnsi="Times New Roman" w:eastAsia="宋体" w:cs="Times New Roman"/>
          <w:color w:val="000000" w:themeColor="text1"/>
          <w:sz w:val="24"/>
          <w:szCs w:val="21"/>
          <w:highlight w:val="none"/>
          <w:u w:val="single"/>
        </w:rPr>
      </w:pPr>
      <w:r>
        <w:rPr>
          <w:rFonts w:ascii="Times New Roman" w:hAnsi="Times New Roman" w:eastAsia="宋体" w:cs="Times New Roman"/>
          <w:color w:val="000000" w:themeColor="text1"/>
          <w:sz w:val="24"/>
          <w:szCs w:val="21"/>
          <w:highlight w:val="none"/>
        </w:rPr>
        <w:t>投标人：（公章）</w:t>
      </w:r>
    </w:p>
    <w:p>
      <w:pPr>
        <w:snapToGrid w:val="0"/>
        <w:spacing w:line="400" w:lineRule="exact"/>
        <w:rPr>
          <w:rFonts w:ascii="Times New Roman" w:hAnsi="Times New Roman" w:eastAsia="宋体" w:cs="Times New Roman"/>
          <w:color w:val="000000" w:themeColor="text1"/>
          <w:sz w:val="24"/>
          <w:szCs w:val="21"/>
          <w:highlight w:val="none"/>
        </w:rPr>
      </w:pPr>
      <w:r>
        <w:rPr>
          <w:rFonts w:ascii="Times New Roman" w:hAnsi="Times New Roman" w:eastAsia="宋体" w:cs="Times New Roman"/>
          <w:color w:val="000000" w:themeColor="text1"/>
          <w:sz w:val="24"/>
          <w:szCs w:val="21"/>
          <w:highlight w:val="none"/>
        </w:rPr>
        <w:t>年月日</w:t>
      </w: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spacing w:line="500" w:lineRule="exact"/>
        <w:jc w:val="center"/>
        <w:outlineLvl w:val="1"/>
        <w:rPr>
          <w:rFonts w:ascii="Times New Roman" w:hAnsi="Times New Roman" w:eastAsia="宋体" w:cs="Times New Roman"/>
          <w:b/>
          <w:color w:val="000000" w:themeColor="text1"/>
          <w:sz w:val="44"/>
          <w:szCs w:val="44"/>
          <w:highlight w:val="none"/>
        </w:rPr>
      </w:pPr>
      <w:bookmarkStart w:id="233" w:name="_Toc10452"/>
      <w:r>
        <w:rPr>
          <w:rFonts w:ascii="Times New Roman" w:hAnsi="Times New Roman" w:eastAsia="宋体" w:cs="Times New Roman"/>
          <w:b/>
          <w:color w:val="000000" w:themeColor="text1"/>
          <w:sz w:val="44"/>
          <w:szCs w:val="44"/>
          <w:highlight w:val="none"/>
        </w:rPr>
        <w:t>B：资格、技术、商务部分</w:t>
      </w:r>
      <w:bookmarkEnd w:id="233"/>
    </w:p>
    <w:p>
      <w:pPr>
        <w:autoSpaceDE w:val="0"/>
        <w:autoSpaceDN w:val="0"/>
        <w:adjustRightInd w:val="0"/>
        <w:snapToGrid w:val="0"/>
        <w:spacing w:line="400" w:lineRule="exact"/>
        <w:jc w:val="left"/>
        <w:rPr>
          <w:rFonts w:ascii="Times New Roman" w:hAnsi="Times New Roman" w:eastAsia="宋体" w:cs="Times New Roman"/>
          <w:color w:val="000000" w:themeColor="text1"/>
          <w:sz w:val="32"/>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autoSpaceDE w:val="0"/>
        <w:autoSpaceDN w:val="0"/>
        <w:adjustRightInd w:val="0"/>
        <w:snapToGrid w:val="0"/>
        <w:spacing w:line="400" w:lineRule="exact"/>
        <w:jc w:val="left"/>
        <w:rPr>
          <w:rFonts w:ascii="Times New Roman" w:hAnsi="Times New Roman" w:eastAsia="宋体" w:cs="Times New Roman"/>
          <w:b/>
          <w:color w:val="000000" w:themeColor="text1"/>
          <w:szCs w:val="24"/>
          <w:highlight w:val="none"/>
        </w:rPr>
      </w:pPr>
    </w:p>
    <w:p>
      <w:pPr>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br w:type="page"/>
      </w:r>
    </w:p>
    <w:p>
      <w:pPr>
        <w:spacing w:line="400" w:lineRule="exact"/>
        <w:rPr>
          <w:rFonts w:ascii="Times New Roman" w:hAnsi="Times New Roman" w:eastAsia="宋体" w:cs="Times New Roman"/>
          <w:color w:val="000000" w:themeColor="text1"/>
          <w:sz w:val="24"/>
          <w:szCs w:val="24"/>
          <w:highlight w:val="none"/>
        </w:rPr>
      </w:pPr>
    </w:p>
    <w:p>
      <w:pPr>
        <w:keepNext/>
        <w:keepLines/>
        <w:tabs>
          <w:tab w:val="left" w:pos="1418"/>
        </w:tabs>
        <w:spacing w:before="260" w:after="260" w:line="400" w:lineRule="exact"/>
        <w:ind w:firstLine="284"/>
        <w:outlineLvl w:val="2"/>
        <w:rPr>
          <w:rFonts w:ascii="Times New Roman" w:hAnsi="Times New Roman" w:eastAsia="宋体" w:cs="Times New Roman"/>
          <w:b/>
          <w:color w:val="000000" w:themeColor="text1"/>
          <w:kern w:val="0"/>
          <w:sz w:val="24"/>
          <w:szCs w:val="24"/>
          <w:highlight w:val="none"/>
        </w:rPr>
      </w:pPr>
      <w:bookmarkStart w:id="234" w:name="_Toc419964637"/>
      <w:bookmarkStart w:id="235" w:name="_Toc11406"/>
      <w:bookmarkStart w:id="236" w:name="_Toc354044653"/>
      <w:r>
        <w:rPr>
          <w:rFonts w:hint="eastAsia" w:ascii="Times New Roman" w:hAnsi="Times New Roman" w:eastAsia="宋体" w:cs="Times New Roman"/>
          <w:b/>
          <w:color w:val="000000" w:themeColor="text1"/>
          <w:kern w:val="0"/>
          <w:sz w:val="24"/>
          <w:szCs w:val="24"/>
          <w:highlight w:val="none"/>
        </w:rPr>
        <w:t>1</w:t>
      </w:r>
      <w:r>
        <w:rPr>
          <w:rFonts w:ascii="Times New Roman" w:hAnsi="Times New Roman" w:eastAsia="宋体" w:cs="Times New Roman"/>
          <w:b/>
          <w:color w:val="000000" w:themeColor="text1"/>
          <w:kern w:val="0"/>
          <w:sz w:val="24"/>
          <w:szCs w:val="24"/>
          <w:highlight w:val="none"/>
        </w:rPr>
        <w:t>：诚信声明</w:t>
      </w:r>
      <w:bookmarkEnd w:id="234"/>
      <w:bookmarkEnd w:id="235"/>
      <w:r>
        <w:rPr>
          <w:rFonts w:ascii="Times New Roman" w:hAnsi="Times New Roman" w:eastAsia="宋体" w:cs="Times New Roman"/>
          <w:b/>
          <w:color w:val="000000" w:themeColor="text1"/>
          <w:kern w:val="0"/>
          <w:sz w:val="24"/>
          <w:szCs w:val="24"/>
          <w:highlight w:val="none"/>
        </w:rPr>
        <w:t>及承诺</w:t>
      </w:r>
    </w:p>
    <w:p>
      <w:pPr>
        <w:tabs>
          <w:tab w:val="left" w:pos="6300"/>
        </w:tabs>
        <w:snapToGrid w:val="0"/>
        <w:spacing w:line="400" w:lineRule="exac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致：</w:t>
      </w:r>
      <w:r>
        <w:rPr>
          <w:rFonts w:ascii="Times New Roman" w:hAnsi="Times New Roman" w:eastAsia="宋体" w:cs="Times New Roman"/>
          <w:color w:val="000000" w:themeColor="text1"/>
          <w:sz w:val="24"/>
          <w:szCs w:val="24"/>
          <w:highlight w:val="none"/>
          <w:u w:val="single"/>
        </w:rPr>
        <w:t>（招标人）</w:t>
      </w:r>
    </w:p>
    <w:p>
      <w:pPr>
        <w:spacing w:line="480" w:lineRule="auto"/>
        <w:ind w:firstLine="480" w:firstLineChars="200"/>
        <w:rPr>
          <w:rFonts w:ascii="宋体" w:hAnsi="宋体" w:eastAsia="宋体" w:cs="Times New Roman"/>
          <w:color w:val="000000" w:themeColor="text1"/>
          <w:kern w:val="0"/>
          <w:szCs w:val="21"/>
          <w:highlight w:val="none"/>
        </w:rPr>
      </w:pPr>
      <w:r>
        <w:rPr>
          <w:rFonts w:ascii="Times New Roman" w:hAnsi="Times New Roman" w:eastAsia="宋体" w:cs="Times New Roman"/>
          <w:color w:val="000000" w:themeColor="text1"/>
          <w:kern w:val="0"/>
          <w:sz w:val="24"/>
          <w:szCs w:val="24"/>
          <w:highlight w:val="none"/>
        </w:rPr>
        <w:t>我司申明：</w:t>
      </w:r>
    </w:p>
    <w:p>
      <w:pPr>
        <w:spacing w:line="480" w:lineRule="auto"/>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1、我司投标文件中提供的各项证明材料都是真实、可靠性的。若在评标及后续工作中发现证明材料的真实性、可靠性存在弄虚作假等行为，招标人有权取消我司中标资格并不予退还我司投标保证金（或履约保证金），我司愿赔偿相应损失并承担一切责任。</w:t>
      </w:r>
    </w:p>
    <w:p>
      <w:pPr>
        <w:spacing w:line="400" w:lineRule="exact"/>
        <w:ind w:firstLine="482" w:firstLineChars="200"/>
        <w:rPr>
          <w:rFonts w:ascii="宋体" w:hAnsi="宋体" w:eastAsia="宋体" w:cs="Times New Roman"/>
          <w:b/>
          <w:color w:val="000000" w:themeColor="text1"/>
          <w:kern w:val="0"/>
          <w:sz w:val="24"/>
          <w:szCs w:val="24"/>
          <w:highlight w:val="none"/>
          <w:u w:val="single"/>
        </w:rPr>
      </w:pPr>
      <w:r>
        <w:rPr>
          <w:rFonts w:hint="eastAsia" w:ascii="宋体" w:hAnsi="宋体" w:eastAsia="宋体" w:cs="Times New Roman"/>
          <w:b/>
          <w:color w:val="000000" w:themeColor="text1"/>
          <w:kern w:val="0"/>
          <w:sz w:val="24"/>
          <w:szCs w:val="24"/>
          <w:highlight w:val="none"/>
          <w:u w:val="single"/>
        </w:rPr>
        <w:t>2、我方完全认可：招标文件第二章投标人须知12.5保证金不予退还情况的相关规定。</w:t>
      </w:r>
    </w:p>
    <w:p>
      <w:pPr>
        <w:spacing w:line="400" w:lineRule="exact"/>
        <w:ind w:firstLine="480" w:firstLineChars="200"/>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3、我方完全认可招标文件中有关“POC测试”（如果有）的相关要求和规定，并承诺严格按招标文件执行。</w:t>
      </w:r>
    </w:p>
    <w:p>
      <w:pPr>
        <w:spacing w:line="400" w:lineRule="exact"/>
        <w:ind w:firstLine="480" w:firstLineChars="200"/>
        <w:rPr>
          <w:rFonts w:ascii="Times New Roman" w:hAnsi="Times New Roman" w:eastAsia="宋体" w:cs="Times New Roman"/>
          <w:color w:val="000000" w:themeColor="text1"/>
          <w:kern w:val="0"/>
          <w:sz w:val="24"/>
          <w:szCs w:val="24"/>
          <w:highlight w:val="none"/>
        </w:rPr>
      </w:pPr>
    </w:p>
    <w:p>
      <w:pPr>
        <w:spacing w:line="400" w:lineRule="exact"/>
        <w:ind w:firstLine="480" w:firstLineChars="200"/>
        <w:rPr>
          <w:rFonts w:ascii="Times New Roman" w:hAnsi="Times New Roman" w:eastAsia="宋体" w:cs="Times New Roman"/>
          <w:color w:val="000000" w:themeColor="text1"/>
          <w:kern w:val="0"/>
          <w:sz w:val="24"/>
          <w:szCs w:val="24"/>
          <w:highlight w:val="none"/>
        </w:rPr>
      </w:pPr>
      <w:r>
        <w:rPr>
          <w:rFonts w:ascii="Times New Roman" w:hAnsi="Times New Roman" w:eastAsia="宋体" w:cs="Times New Roman"/>
          <w:color w:val="000000" w:themeColor="text1"/>
          <w:kern w:val="0"/>
          <w:sz w:val="24"/>
          <w:szCs w:val="24"/>
          <w:highlight w:val="none"/>
        </w:rPr>
        <w:t>……</w:t>
      </w:r>
    </w:p>
    <w:p>
      <w:pPr>
        <w:spacing w:line="400" w:lineRule="exact"/>
        <w:ind w:firstLine="801" w:firstLineChars="334"/>
        <w:rPr>
          <w:rFonts w:ascii="Times New Roman" w:hAnsi="Times New Roman" w:eastAsia="宋体" w:cs="Times New Roman"/>
          <w:color w:val="000000" w:themeColor="text1"/>
          <w:kern w:val="0"/>
          <w:sz w:val="24"/>
          <w:szCs w:val="24"/>
          <w:highlight w:val="none"/>
        </w:rPr>
      </w:pPr>
    </w:p>
    <w:p>
      <w:pPr>
        <w:tabs>
          <w:tab w:val="left" w:pos="6300"/>
        </w:tabs>
        <w:snapToGrid w:val="0"/>
        <w:spacing w:line="400" w:lineRule="exact"/>
        <w:ind w:right="420" w:firstLine="142"/>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color w:val="000000" w:themeColor="text1"/>
          <w:sz w:val="24"/>
          <w:szCs w:val="24"/>
          <w:highlight w:val="none"/>
        </w:rPr>
        <w:t>注：投标人可在上述内容的基础上补充其他更优的承诺或说明。</w:t>
      </w: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highlight w:val="none"/>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highlight w:val="none"/>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highlight w:val="none"/>
        </w:rPr>
      </w:pP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投标人（公章）：</w:t>
      </w:r>
    </w:p>
    <w:p>
      <w:pPr>
        <w:tabs>
          <w:tab w:val="left" w:pos="6300"/>
        </w:tabs>
        <w:snapToGrid w:val="0"/>
        <w:spacing w:line="400" w:lineRule="exact"/>
        <w:ind w:right="420"/>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法定代表人或其委托代理人：（盖章或签字）</w:t>
      </w:r>
    </w:p>
    <w:p>
      <w:pPr>
        <w:spacing w:line="400" w:lineRule="exact"/>
        <w:ind w:right="900" w:firstLine="480" w:firstLineChars="200"/>
        <w:jc w:val="left"/>
        <w:rPr>
          <w:rFonts w:ascii="Times New Roman" w:hAnsi="Times New Roman" w:eastAsia="宋体" w:cs="Times New Roman"/>
          <w:color w:val="000000" w:themeColor="text1"/>
          <w:sz w:val="24"/>
          <w:szCs w:val="24"/>
          <w:highlight w:val="none"/>
        </w:rPr>
      </w:pPr>
      <w:r>
        <w:rPr>
          <w:rFonts w:ascii="Times New Roman" w:hAnsi="Times New Roman" w:eastAsia="宋体" w:cs="Times New Roman"/>
          <w:color w:val="000000" w:themeColor="text1"/>
          <w:sz w:val="24"/>
          <w:szCs w:val="24"/>
          <w:highlight w:val="none"/>
        </w:rPr>
        <w:t>年月日</w:t>
      </w:r>
    </w:p>
    <w:p>
      <w:pPr>
        <w:spacing w:line="400" w:lineRule="exact"/>
        <w:rPr>
          <w:rFonts w:ascii="宋体" w:hAnsi="宋体" w:eastAsia="宋体" w:cs="Times New Roman"/>
          <w:color w:val="000000" w:themeColor="text1"/>
          <w:kern w:val="0"/>
          <w:szCs w:val="21"/>
          <w:highlight w:val="none"/>
          <w:u w:val="single"/>
        </w:rPr>
      </w:pPr>
      <w:r>
        <w:rPr>
          <w:rFonts w:ascii="Times New Roman" w:hAnsi="Times New Roman" w:eastAsia="宋体" w:cs="Times New Roman"/>
          <w:color w:val="000000" w:themeColor="text1"/>
          <w:sz w:val="24"/>
          <w:szCs w:val="24"/>
          <w:highlight w:val="none"/>
        </w:rPr>
        <w:br w:type="page"/>
      </w:r>
    </w:p>
    <w:bookmarkEnd w:id="236"/>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rPr>
      </w:pPr>
      <w:bookmarkStart w:id="237" w:name="_Toc354044654"/>
      <w:bookmarkStart w:id="238" w:name="_Toc16719"/>
      <w:bookmarkStart w:id="239" w:name="_Toc419964638"/>
      <w:r>
        <w:rPr>
          <w:rFonts w:hint="eastAsia" w:ascii="Times New Roman" w:hAnsi="Times New Roman" w:eastAsia="宋体" w:cs="Times New Roman"/>
          <w:color w:val="000000" w:themeColor="text1"/>
          <w:sz w:val="24"/>
          <w:szCs w:val="24"/>
          <w:highlight w:val="none"/>
        </w:rPr>
        <w:t>2</w:t>
      </w:r>
      <w:r>
        <w:rPr>
          <w:rFonts w:ascii="Times New Roman" w:hAnsi="Times New Roman" w:eastAsia="宋体" w:cs="Times New Roman"/>
          <w:b/>
          <w:bCs/>
          <w:color w:val="000000" w:themeColor="text1"/>
          <w:kern w:val="0"/>
          <w:sz w:val="24"/>
          <w:szCs w:val="24"/>
          <w:highlight w:val="none"/>
        </w:rPr>
        <w:t>：</w:t>
      </w:r>
      <w:r>
        <w:rPr>
          <w:rFonts w:hint="eastAsia" w:ascii="Times New Roman" w:hAnsi="Times New Roman" w:eastAsia="宋体" w:cs="Times New Roman"/>
          <w:b/>
          <w:bCs/>
          <w:color w:val="000000" w:themeColor="text1"/>
          <w:kern w:val="0"/>
          <w:sz w:val="24"/>
          <w:szCs w:val="24"/>
          <w:highlight w:val="none"/>
        </w:rPr>
        <w:t>投标保证金</w:t>
      </w:r>
    </w:p>
    <w:p>
      <w:pPr>
        <w:keepNext/>
        <w:keepLines/>
        <w:tabs>
          <w:tab w:val="left" w:pos="1418"/>
        </w:tabs>
        <w:spacing w:before="260" w:after="260" w:line="400" w:lineRule="exact"/>
        <w:ind w:firstLine="284"/>
        <w:outlineLvl w:val="2"/>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投标保证金提交凭证</w:t>
      </w:r>
    </w:p>
    <w:p>
      <w:pPr>
        <w:widowControl/>
        <w:jc w:val="left"/>
        <w:rPr>
          <w:rFonts w:ascii="Times New Roman" w:hAnsi="Times New Roman" w:eastAsia="宋体" w:cs="Times New Roman"/>
          <w:b/>
          <w:bCs/>
          <w:color w:val="000000" w:themeColor="text1"/>
          <w:kern w:val="0"/>
          <w:sz w:val="24"/>
          <w:szCs w:val="24"/>
          <w:highlight w:val="none"/>
        </w:rPr>
      </w:pPr>
      <w:r>
        <w:rPr>
          <w:rFonts w:ascii="Times New Roman" w:hAnsi="Times New Roman" w:eastAsia="宋体" w:cs="Times New Roman"/>
          <w:b/>
          <w:bCs/>
          <w:color w:val="000000" w:themeColor="text1"/>
          <w:kern w:val="0"/>
          <w:sz w:val="24"/>
          <w:szCs w:val="24"/>
          <w:highlight w:val="none"/>
        </w:rPr>
        <w:br w:type="page"/>
      </w: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rPr>
      </w:pPr>
    </w:p>
    <w:p>
      <w:pPr>
        <w:keepNext/>
        <w:keepLines/>
        <w:tabs>
          <w:tab w:val="left" w:pos="1418"/>
        </w:tabs>
        <w:spacing w:before="260" w:after="260" w:line="400" w:lineRule="exact"/>
        <w:ind w:firstLine="284"/>
        <w:outlineLvl w:val="2"/>
        <w:rPr>
          <w:rFonts w:ascii="Times New Roman" w:hAnsi="Times New Roman" w:eastAsia="宋体" w:cs="Times New Roman"/>
          <w:b/>
          <w:bCs/>
          <w:color w:val="000000" w:themeColor="text1"/>
          <w:kern w:val="0"/>
          <w:sz w:val="24"/>
          <w:szCs w:val="24"/>
          <w:highlight w:val="none"/>
        </w:rPr>
      </w:pPr>
      <w:r>
        <w:rPr>
          <w:rFonts w:hint="eastAsia" w:ascii="Times New Roman" w:hAnsi="Times New Roman" w:eastAsia="宋体" w:cs="Times New Roman"/>
          <w:b/>
          <w:bCs/>
          <w:color w:val="000000" w:themeColor="text1"/>
          <w:kern w:val="0"/>
          <w:sz w:val="24"/>
          <w:szCs w:val="24"/>
          <w:highlight w:val="none"/>
        </w:rPr>
        <w:t>3：</w:t>
      </w:r>
      <w:r>
        <w:rPr>
          <w:rFonts w:ascii="Times New Roman" w:hAnsi="Times New Roman" w:eastAsia="宋体" w:cs="Times New Roman"/>
          <w:b/>
          <w:bCs/>
          <w:color w:val="000000" w:themeColor="text1"/>
          <w:kern w:val="0"/>
          <w:sz w:val="24"/>
          <w:szCs w:val="24"/>
          <w:highlight w:val="none"/>
        </w:rPr>
        <w:t>其他资料</w:t>
      </w:r>
      <w:bookmarkEnd w:id="237"/>
      <w:bookmarkEnd w:id="238"/>
      <w:bookmarkEnd w:id="239"/>
    </w:p>
    <w:p>
      <w:pPr>
        <w:keepNext/>
        <w:keepLines/>
        <w:tabs>
          <w:tab w:val="left" w:pos="1418"/>
        </w:tabs>
        <w:spacing w:before="260" w:after="260" w:line="400" w:lineRule="exact"/>
        <w:outlineLvl w:val="2"/>
        <w:rPr>
          <w:rFonts w:ascii="Times New Roman" w:hAnsi="Times New Roman" w:eastAsia="宋体" w:cs="Times New Roman"/>
          <w:color w:val="000000" w:themeColor="text1"/>
          <w:kern w:val="0"/>
          <w:sz w:val="24"/>
          <w:szCs w:val="24"/>
          <w:highlight w:val="none"/>
        </w:rPr>
      </w:pPr>
      <w:r>
        <w:rPr>
          <w:rFonts w:hint="eastAsia" w:ascii="Times New Roman" w:hAnsi="Times New Roman" w:eastAsia="宋体" w:cs="Times New Roman"/>
          <w:color w:val="000000" w:themeColor="text1"/>
          <w:kern w:val="0"/>
          <w:sz w:val="24"/>
          <w:szCs w:val="24"/>
          <w:highlight w:val="none"/>
        </w:rPr>
        <w:t>（该部分资料由投标人根据资格审查要求、商务评审、技术评审等内容，自行编制，格式自拟，并附相应证明资料）</w:t>
      </w:r>
    </w:p>
    <w:p>
      <w:pPr>
        <w:spacing w:line="300" w:lineRule="exact"/>
        <w:rPr>
          <w:rFonts w:ascii="Times New Roman" w:hAnsi="Times New Roman" w:eastAsia="宋体" w:cs="Times New Roman"/>
          <w:b/>
          <w:bCs/>
          <w:color w:val="000000" w:themeColor="text1"/>
          <w:kern w:val="0"/>
          <w:sz w:val="24"/>
          <w:szCs w:val="24"/>
          <w:highlight w:val="none"/>
        </w:rPr>
      </w:pPr>
      <w:r>
        <w:rPr>
          <w:rFonts w:ascii="Times New Roman" w:hAnsi="Times New Roman" w:eastAsia="宋体" w:cs="Times New Roman"/>
          <w:color w:val="000000" w:themeColor="text1"/>
          <w:sz w:val="24"/>
          <w:szCs w:val="24"/>
          <w:highlight w:val="none"/>
        </w:rPr>
        <w:br w:type="page"/>
      </w:r>
      <w:bookmarkStart w:id="240" w:name="_Toc2699"/>
      <w:r>
        <w:rPr>
          <w:rFonts w:ascii="Times New Roman" w:hAnsi="Times New Roman" w:eastAsia="宋体" w:cs="Times New Roman"/>
          <w:b/>
          <w:bCs/>
          <w:color w:val="000000" w:themeColor="text1"/>
          <w:kern w:val="0"/>
          <w:sz w:val="24"/>
          <w:szCs w:val="24"/>
          <w:highlight w:val="none"/>
        </w:rPr>
        <w:t>附件1</w:t>
      </w:r>
      <w:bookmarkEnd w:id="240"/>
    </w:p>
    <w:p>
      <w:pPr>
        <w:keepNext/>
        <w:keepLines/>
        <w:tabs>
          <w:tab w:val="left" w:pos="1418"/>
        </w:tabs>
        <w:spacing w:line="300" w:lineRule="exact"/>
        <w:jc w:val="center"/>
        <w:rPr>
          <w:rFonts w:ascii="Times New Roman" w:hAnsi="Times New Roman" w:eastAsia="仿宋" w:cs="Times New Roman"/>
          <w:b/>
          <w:bCs/>
          <w:color w:val="000000" w:themeColor="text1"/>
          <w:kern w:val="0"/>
          <w:sz w:val="30"/>
          <w:szCs w:val="30"/>
          <w:highlight w:val="none"/>
        </w:rPr>
      </w:pPr>
      <w:r>
        <w:rPr>
          <w:rFonts w:ascii="Times New Roman" w:hAnsi="Times New Roman" w:eastAsia="仿宋" w:cs="Times New Roman"/>
          <w:b/>
          <w:bCs/>
          <w:color w:val="000000" w:themeColor="text1"/>
          <w:kern w:val="0"/>
          <w:sz w:val="30"/>
          <w:szCs w:val="30"/>
          <w:highlight w:val="none"/>
        </w:rPr>
        <w:t>评审表页码对照表</w:t>
      </w:r>
    </w:p>
    <w:p>
      <w:pPr>
        <w:spacing w:line="400" w:lineRule="exact"/>
        <w:rPr>
          <w:rFonts w:ascii="Times New Roman" w:hAnsi="Times New Roman" w:eastAsia="仿宋" w:cs="Times New Roman"/>
          <w:b/>
          <w:bCs/>
          <w:color w:val="000000" w:themeColor="text1"/>
          <w:kern w:val="0"/>
          <w:sz w:val="30"/>
          <w:szCs w:val="30"/>
          <w:highlight w:val="none"/>
        </w:rPr>
      </w:pPr>
    </w:p>
    <w:p>
      <w:pPr>
        <w:spacing w:line="400" w:lineRule="exact"/>
        <w:ind w:firstLine="602" w:firstLineChars="200"/>
        <w:rPr>
          <w:rFonts w:ascii="Times New Roman" w:hAnsi="Times New Roman" w:eastAsia="仿宋" w:cs="Times New Roman"/>
          <w:b/>
          <w:color w:val="000000" w:themeColor="text1"/>
          <w:kern w:val="0"/>
          <w:szCs w:val="21"/>
          <w:highlight w:val="none"/>
        </w:rPr>
      </w:pPr>
      <w:r>
        <w:rPr>
          <w:rFonts w:ascii="Times New Roman" w:hAnsi="Times New Roman" w:eastAsia="仿宋" w:cs="Times New Roman"/>
          <w:b/>
          <w:bCs/>
          <w:color w:val="000000" w:themeColor="text1"/>
          <w:kern w:val="0"/>
          <w:sz w:val="30"/>
          <w:szCs w:val="30"/>
          <w:highlight w:val="none"/>
        </w:rPr>
        <w:t>各投标人按照第三章第一节《评标方法前附表》内的评审因素和评审标准所罗列的内容，以表格形式在此一一对应地将投标文件中所对应页码标注说明，以便评标委员会查找和评审。</w:t>
      </w:r>
    </w:p>
    <w:p>
      <w:pPr>
        <w:keepNext/>
        <w:keepLines/>
        <w:tabs>
          <w:tab w:val="left" w:pos="1418"/>
        </w:tabs>
        <w:spacing w:line="280" w:lineRule="exact"/>
        <w:jc w:val="left"/>
        <w:outlineLvl w:val="2"/>
        <w:rPr>
          <w:rFonts w:ascii="Times New Roman" w:hAnsi="Times New Roman" w:eastAsia="宋体" w:cs="Times New Roman"/>
          <w:b/>
          <w:bCs/>
          <w:color w:val="000000" w:themeColor="text1"/>
          <w:kern w:val="0"/>
          <w:sz w:val="24"/>
          <w:szCs w:val="24"/>
          <w:highlight w:val="none"/>
        </w:rPr>
      </w:pPr>
      <w:bookmarkStart w:id="241" w:name="_Toc28942"/>
      <w:r>
        <w:rPr>
          <w:rFonts w:hint="eastAsia" w:ascii="Times New Roman" w:hAnsi="Times New Roman" w:eastAsia="仿宋" w:cs="Times New Roman"/>
          <w:b/>
          <w:color w:val="000000" w:themeColor="text1"/>
          <w:kern w:val="0"/>
          <w:szCs w:val="21"/>
          <w:highlight w:val="none"/>
        </w:rPr>
        <w:br w:type="page"/>
      </w:r>
      <w:r>
        <w:rPr>
          <w:rFonts w:ascii="Times New Roman" w:hAnsi="Times New Roman" w:eastAsia="宋体" w:cs="Times New Roman"/>
          <w:b/>
          <w:bCs/>
          <w:color w:val="000000" w:themeColor="text1"/>
          <w:kern w:val="0"/>
          <w:sz w:val="24"/>
          <w:szCs w:val="24"/>
          <w:highlight w:val="none"/>
        </w:rPr>
        <w:t>附件2：</w:t>
      </w:r>
      <w:bookmarkEnd w:id="241"/>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highlight w:val="none"/>
        </w:rPr>
      </w:pPr>
      <w:r>
        <w:rPr>
          <w:rFonts w:ascii="Times New Roman" w:hAnsi="Times New Roman" w:eastAsia="仿宋" w:cs="Times New Roman"/>
          <w:b/>
          <w:bCs/>
          <w:color w:val="000000" w:themeColor="text1"/>
          <w:kern w:val="0"/>
          <w:sz w:val="30"/>
          <w:szCs w:val="30"/>
          <w:highlight w:val="none"/>
        </w:rPr>
        <w:t>商务符合性应答表</w:t>
      </w:r>
    </w:p>
    <w:p>
      <w:pPr>
        <w:spacing w:line="300" w:lineRule="exact"/>
        <w:jc w:val="left"/>
        <w:rPr>
          <w:rFonts w:ascii="Times New Roman" w:hAnsi="Times New Roman" w:eastAsia="仿宋" w:cs="Times New Roman"/>
          <w:bCs/>
          <w:color w:val="000000" w:themeColor="text1"/>
          <w:szCs w:val="21"/>
          <w:highlight w:val="none"/>
          <w:u w:val="single"/>
        </w:rPr>
      </w:pPr>
    </w:p>
    <w:p>
      <w:pPr>
        <w:spacing w:line="300" w:lineRule="exact"/>
        <w:jc w:val="left"/>
        <w:rPr>
          <w:rFonts w:ascii="Times New Roman" w:hAnsi="Times New Roman" w:eastAsia="仿宋" w:cs="Times New Roman"/>
          <w:bCs/>
          <w:color w:val="000000" w:themeColor="text1"/>
          <w:szCs w:val="21"/>
          <w:highlight w:val="none"/>
          <w:u w:val="single"/>
        </w:rPr>
      </w:pPr>
      <w:r>
        <w:rPr>
          <w:rFonts w:hint="eastAsia" w:ascii="Times New Roman" w:hAnsi="Times New Roman" w:cs="Times New Roman"/>
          <w:color w:val="000000" w:themeColor="text1"/>
          <w:spacing w:val="-1"/>
          <w:highlight w:val="none"/>
          <w:lang w:val="ru-RU"/>
        </w:rPr>
        <w:t>分包一：移动展业平台软件开发</w:t>
      </w:r>
    </w:p>
    <w:p>
      <w:pPr>
        <w:spacing w:line="300" w:lineRule="exact"/>
        <w:jc w:val="left"/>
        <w:rPr>
          <w:rFonts w:ascii="Times New Roman" w:hAnsi="Times New Roman" w:eastAsia="仿宋" w:cs="Times New Roman"/>
          <w:bCs/>
          <w:color w:val="000000" w:themeColor="text1"/>
          <w:szCs w:val="21"/>
          <w:highlight w:val="none"/>
          <w:u w:val="single"/>
        </w:rPr>
      </w:pPr>
      <w:r>
        <w:rPr>
          <w:rFonts w:hint="eastAsia" w:ascii="Times New Roman" w:hAnsi="Times New Roman" w:eastAsia="仿宋" w:cs="Times New Roman"/>
          <w:bCs/>
          <w:color w:val="000000" w:themeColor="text1"/>
          <w:szCs w:val="21"/>
          <w:highlight w:val="none"/>
          <w:u w:val="single"/>
        </w:rPr>
        <w:t>（该表以招标文件正文第五章《项目需求》中“商务符合性要求”描述为准，请各投标人按序号作出响应，若出现前后不一致的情况，以招标文件正文第五章《项目需求》中“商务符合性要求”描述为准）</w:t>
      </w:r>
    </w:p>
    <w:tbl>
      <w:tblPr>
        <w:tblStyle w:val="55"/>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tabs>
                <w:tab w:val="left" w:pos="1050"/>
                <w:tab w:val="left" w:pos="1470"/>
              </w:tabs>
              <w:spacing w:line="240" w:lineRule="exact"/>
              <w:rPr>
                <w:rFonts w:ascii="Times New Roman" w:hAnsi="Times New Roman" w:eastAsia="宋体" w:cs="Times New Roman"/>
                <w:color w:val="000000" w:themeColor="text1"/>
                <w:sz w:val="18"/>
                <w:szCs w:val="21"/>
                <w:highlight w:val="none"/>
              </w:rPr>
            </w:pPr>
            <w:r>
              <w:rPr>
                <w:rFonts w:ascii="Times New Roman" w:hAnsi="Times New Roman" w:eastAsia="宋体" w:cs="Times New Roman"/>
                <w:color w:val="000000" w:themeColor="text1"/>
                <w:sz w:val="18"/>
                <w:szCs w:val="21"/>
                <w:highlight w:val="none"/>
              </w:rPr>
              <w:t>条款号</w:t>
            </w:r>
          </w:p>
        </w:tc>
        <w:tc>
          <w:tcPr>
            <w:tcW w:w="8383"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ascii="Times New Roman" w:hAnsi="Times New Roman" w:eastAsia="宋体" w:cs="Times New Roman"/>
                <w:color w:val="000000" w:themeColor="text1"/>
                <w:sz w:val="18"/>
                <w:szCs w:val="21"/>
                <w:highlight w:val="none"/>
              </w:rPr>
              <w:t>招标要求</w:t>
            </w:r>
          </w:p>
        </w:tc>
        <w:tc>
          <w:tcPr>
            <w:tcW w:w="663"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有否偏离</w:t>
            </w:r>
          </w:p>
        </w:tc>
        <w:tc>
          <w:tcPr>
            <w:tcW w:w="1276" w:type="dxa"/>
            <w:shd w:val="clear" w:color="auto" w:fill="BFBFBF"/>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如有偏离，</w:t>
            </w:r>
          </w:p>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1</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服务内容：</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本文件第二章中投标人须知前附表</w:t>
            </w:r>
            <w:r>
              <w:rPr>
                <w:rFonts w:ascii="Times New Roman" w:hAnsi="Times New Roman" w:eastAsia="宋体" w:cs="Times New Roman"/>
                <w:color w:val="000000" w:themeColor="text1"/>
                <w:szCs w:val="21"/>
                <w:highlight w:val="none"/>
              </w:rPr>
              <w:t>。</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2</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服务地点：详见本文件第二章中投标人须知前附表。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服务期限：详见本文件第二章中投标人须知前附表。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p>
        </w:tc>
        <w:tc>
          <w:tcPr>
            <w:tcW w:w="8383" w:type="dxa"/>
            <w:vAlign w:val="center"/>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服务</w:t>
            </w:r>
            <w:r>
              <w:rPr>
                <w:rFonts w:ascii="Times New Roman" w:hAnsi="Times New Roman" w:eastAsia="宋体" w:cs="Times New Roman"/>
                <w:color w:val="000000" w:themeColor="text1"/>
                <w:szCs w:val="21"/>
                <w:highlight w:val="none"/>
              </w:rPr>
              <w:t>质量及验收要求：</w:t>
            </w:r>
            <w:r>
              <w:rPr>
                <w:rFonts w:hint="eastAsia" w:ascii="Times New Roman" w:hAnsi="Times New Roman" w:eastAsia="宋体" w:cs="Times New Roman"/>
                <w:color w:val="000000" w:themeColor="text1"/>
                <w:szCs w:val="21"/>
                <w:highlight w:val="none"/>
              </w:rPr>
              <w:t>详见本文件第一章《招标公告》。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服务成果要求：详见本文件第一章《招标公告》。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6</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7</w:t>
            </w:r>
          </w:p>
        </w:tc>
        <w:tc>
          <w:tcPr>
            <w:tcW w:w="8383" w:type="dxa"/>
          </w:tcPr>
          <w:p>
            <w:pPr>
              <w:adjustRightInd w:val="0"/>
              <w:snapToGrid w:val="0"/>
              <w:spacing w:line="260" w:lineRule="atLeast"/>
              <w:rPr>
                <w:rFonts w:ascii="Times New Roman" w:hAnsi="Times New Roman" w:eastAsia="宋体" w:cs="Times New Roman"/>
                <w:bCs/>
                <w:color w:val="000000" w:themeColor="text1"/>
                <w:szCs w:val="21"/>
                <w:highlight w:val="none"/>
              </w:rPr>
            </w:pPr>
            <w:r>
              <w:rPr>
                <w:rFonts w:hint="eastAsia" w:ascii="Times New Roman" w:hAnsi="Times New Roman" w:eastAsia="宋体" w:cs="Times New Roman"/>
                <w:bCs/>
                <w:color w:val="000000" w:themeColor="text1"/>
                <w:szCs w:val="21"/>
                <w:highlight w:val="none"/>
              </w:rPr>
              <w:t>付款方式：</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以转账方式支付，分次支付：</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1、合同签订后，支付合同总金额的20%；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2、系统第一批功能上线成功后，支付合同总金额的30%；</w:t>
            </w:r>
          </w:p>
          <w:p>
            <w:pPr>
              <w:adjustRightInd w:val="0"/>
              <w:snapToGrid w:val="0"/>
              <w:spacing w:line="260" w:lineRule="atLeast"/>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3、系统最终验收且完成所有功能上线，支付合同总金额的40%；</w:t>
            </w:r>
          </w:p>
          <w:p>
            <w:pPr>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4、最终验收且完成所有功能上线的1年后，支付合同总金额的10%。</w:t>
            </w:r>
          </w:p>
          <w:p>
            <w:pPr>
              <w:tabs>
                <w:tab w:val="left" w:pos="1050"/>
                <w:tab w:val="left" w:pos="1470"/>
              </w:tabs>
              <w:rPr>
                <w:rFonts w:ascii="Times New Roman" w:hAnsi="Times New Roman" w:eastAsia="仿宋" w:cs="Times New Roman"/>
                <w:bCs/>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tc>
        <w:tc>
          <w:tcPr>
            <w:tcW w:w="663" w:type="dxa"/>
          </w:tcPr>
          <w:p>
            <w:pPr>
              <w:tabs>
                <w:tab w:val="left" w:pos="1050"/>
                <w:tab w:val="left" w:pos="1470"/>
              </w:tabs>
              <w:rPr>
                <w:rFonts w:ascii="Times New Roman" w:hAnsi="Times New Roman" w:eastAsia="宋体" w:cs="Times New Roman"/>
                <w:bCs/>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bCs/>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8</w:t>
            </w:r>
          </w:p>
        </w:tc>
        <w:tc>
          <w:tcPr>
            <w:tcW w:w="8383" w:type="dxa"/>
          </w:tcPr>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ascii="Times New Roman" w:hAnsi="Times New Roman" w:eastAsia="宋体" w:cs="Times New Roman"/>
                <w:color w:val="000000" w:themeColor="text1"/>
                <w:szCs w:val="21"/>
                <w:highlight w:val="none"/>
              </w:rPr>
              <w:t>履约保证金退还时间：系统完成最终验收后，</w:t>
            </w:r>
            <w:r>
              <w:rPr>
                <w:rFonts w:hint="eastAsia" w:ascii="Times New Roman" w:hAnsi="Times New Roman" w:eastAsia="宋体" w:cs="Times New Roman"/>
                <w:color w:val="000000" w:themeColor="text1"/>
                <w:szCs w:val="21"/>
                <w:highlight w:val="none"/>
              </w:rPr>
              <w:t>一次性无息退还；</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tc>
        <w:tc>
          <w:tcPr>
            <w:tcW w:w="663" w:type="dxa"/>
          </w:tcPr>
          <w:p>
            <w:pPr>
              <w:rPr>
                <w:rFonts w:ascii="Times New Roman" w:hAnsi="Times New Roman" w:eastAsia="宋体" w:cs="Times New Roman"/>
                <w:color w:val="000000" w:themeColor="text1"/>
                <w:szCs w:val="21"/>
                <w:highlight w:val="none"/>
              </w:rPr>
            </w:pPr>
          </w:p>
        </w:tc>
        <w:tc>
          <w:tcPr>
            <w:tcW w:w="1276" w:type="dxa"/>
          </w:tcPr>
          <w:p>
            <w:pPr>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9</w:t>
            </w:r>
          </w:p>
        </w:tc>
        <w:tc>
          <w:tcPr>
            <w:tcW w:w="8383" w:type="dxa"/>
          </w:tcPr>
          <w:p>
            <w:pPr>
              <w:numPr>
                <w:ilvl w:val="255"/>
                <w:numId w:val="0"/>
              </w:numPr>
              <w:tabs>
                <w:tab w:val="left" w:pos="1050"/>
                <w:tab w:val="left" w:pos="1470"/>
              </w:tabs>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实施团队需提供合计4人月的UAT测试人月数配合我行完成上线前的UAT测试，且测试人员不能为实施项目的开发人员。</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10</w:t>
            </w:r>
          </w:p>
        </w:tc>
        <w:tc>
          <w:tcPr>
            <w:tcW w:w="8383" w:type="dxa"/>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1如果部分功能模块采用第三方产品进行实施，需提供第三方产品厂商提供的正式授权许可证明，可以在投标时随投标文件提供或者公示结束后五个工作日内提供，还需同时提供由实施厂商承诺的在维保服务期内提供全程维保服务的承诺书。</w:t>
            </w:r>
          </w:p>
          <w:p>
            <w:pPr>
              <w:tabs>
                <w:tab w:val="left" w:pos="1050"/>
                <w:tab w:val="left" w:pos="1470"/>
              </w:tabs>
              <w:rPr>
                <w:rFonts w:ascii="Times New Roman" w:hAnsi="Times New Roman" w:eastAsia="宋体" w:cs="Times New Roman"/>
                <w:color w:val="000000" w:themeColor="text1"/>
                <w:szCs w:val="21"/>
                <w:highlight w:val="none"/>
              </w:rPr>
            </w:pPr>
            <w:r>
              <w:rPr>
                <w:rFonts w:hint="eastAsia" w:ascii="仿宋" w:hAnsi="仿宋" w:eastAsia="仿宋"/>
                <w:color w:val="000000" w:themeColor="text1"/>
                <w:sz w:val="24"/>
                <w:szCs w:val="24"/>
                <w:highlight w:val="none"/>
              </w:rPr>
              <w:t>2实施团队需自行提供保证项目开发的测试设备，包括但不限于</w:t>
            </w:r>
            <w:r>
              <w:rPr>
                <w:rFonts w:ascii="仿宋" w:hAnsi="仿宋" w:eastAsia="仿宋"/>
                <w:color w:val="000000" w:themeColor="text1"/>
                <w:sz w:val="24"/>
                <w:szCs w:val="24"/>
                <w:highlight w:val="none"/>
              </w:rPr>
              <w:t>iPad</w:t>
            </w:r>
            <w:r>
              <w:rPr>
                <w:rFonts w:hint="eastAsia" w:ascii="仿宋" w:hAnsi="仿宋" w:eastAsia="仿宋"/>
                <w:color w:val="000000" w:themeColor="text1"/>
                <w:sz w:val="24"/>
                <w:szCs w:val="24"/>
                <w:highlight w:val="none"/>
              </w:rPr>
              <w:t>平板电脑、iOS和Android手机。</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bl>
    <w:p>
      <w:pPr>
        <w:tabs>
          <w:tab w:val="left" w:pos="6300"/>
        </w:tabs>
        <w:snapToGrid w:val="0"/>
        <w:spacing w:line="320" w:lineRule="exact"/>
        <w:rPr>
          <w:rFonts w:ascii="宋体" w:hAnsi="宋体" w:eastAsia="宋体" w:cs="Times New Roman"/>
          <w:b/>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tabs>
          <w:tab w:val="left" w:pos="6300"/>
        </w:tabs>
        <w:snapToGrid w:val="0"/>
        <w:spacing w:line="320" w:lineRule="exact"/>
        <w:rPr>
          <w:rFonts w:ascii="宋体" w:hAnsi="宋体" w:eastAsia="宋体" w:cs="Times New Roman"/>
          <w:b/>
          <w:color w:val="000000" w:themeColor="text1"/>
          <w:szCs w:val="21"/>
          <w:highlight w:val="none"/>
        </w:rPr>
      </w:pPr>
    </w:p>
    <w:p>
      <w:pPr>
        <w:tabs>
          <w:tab w:val="left" w:pos="6300"/>
        </w:tabs>
        <w:snapToGrid w:val="0"/>
        <w:spacing w:line="32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投标人：（公章）</w:t>
      </w:r>
    </w:p>
    <w:p>
      <w:pPr>
        <w:spacing w:line="320" w:lineRule="exact"/>
        <w:rPr>
          <w:rFonts w:ascii="宋体" w:hAnsi="宋体" w:eastAsia="宋体" w:cs="Times New Roman"/>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spacing w:line="320" w:lineRule="exact"/>
        <w:ind w:firstLine="1890" w:firstLineChars="9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年   月   日</w:t>
      </w:r>
    </w:p>
    <w:p>
      <w:pPr>
        <w:spacing w:line="320" w:lineRule="exact"/>
        <w:ind w:firstLine="1890" w:firstLineChars="9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br w:type="page"/>
      </w:r>
    </w:p>
    <w:p>
      <w:pPr>
        <w:spacing w:line="320" w:lineRule="exact"/>
        <w:jc w:val="left"/>
        <w:rPr>
          <w:rFonts w:ascii="Times New Roman" w:hAnsi="Times New Roman" w:cs="Times New Roman"/>
          <w:color w:val="000000" w:themeColor="text1"/>
          <w:spacing w:val="-1"/>
          <w:highlight w:val="none"/>
          <w:lang w:val="ru-RU"/>
        </w:rPr>
      </w:pPr>
    </w:p>
    <w:p>
      <w:pPr>
        <w:spacing w:line="320" w:lineRule="exact"/>
        <w:jc w:val="left"/>
        <w:rPr>
          <w:rFonts w:ascii="Times New Roman" w:hAnsi="Times New Roman" w:cs="Times New Roman"/>
          <w:color w:val="000000" w:themeColor="text1"/>
          <w:spacing w:val="-1"/>
          <w:highlight w:val="none"/>
          <w:lang w:val="ru-RU"/>
        </w:rPr>
      </w:pPr>
    </w:p>
    <w:p>
      <w:pPr>
        <w:spacing w:line="320" w:lineRule="exact"/>
        <w:jc w:val="left"/>
        <w:rPr>
          <w:rFonts w:ascii="Times New Roman" w:hAnsi="Times New Roman" w:cs="Times New Roman"/>
          <w:color w:val="000000" w:themeColor="text1"/>
          <w:spacing w:val="-1"/>
          <w:highlight w:val="none"/>
          <w:lang w:val="ru-RU"/>
        </w:rPr>
      </w:pPr>
      <w:r>
        <w:rPr>
          <w:rFonts w:hint="eastAsia" w:ascii="Times New Roman" w:hAnsi="Times New Roman" w:cs="Times New Roman"/>
          <w:color w:val="000000" w:themeColor="text1"/>
          <w:spacing w:val="-1"/>
          <w:highlight w:val="none"/>
          <w:lang w:val="ru-RU"/>
        </w:rPr>
        <w:t>分包二：移动展业平台配套硬件</w:t>
      </w:r>
    </w:p>
    <w:p>
      <w:pPr>
        <w:spacing w:line="320" w:lineRule="exact"/>
        <w:jc w:val="left"/>
        <w:rPr>
          <w:rFonts w:ascii="Times New Roman" w:hAnsi="Times New Roman" w:cs="Times New Roman"/>
          <w:color w:val="000000" w:themeColor="text1"/>
          <w:spacing w:val="-1"/>
          <w:highlight w:val="none"/>
          <w:lang w:val="ru-RU"/>
        </w:rPr>
      </w:pPr>
    </w:p>
    <w:p>
      <w:pPr>
        <w:spacing w:line="300" w:lineRule="exact"/>
        <w:jc w:val="left"/>
        <w:rPr>
          <w:rFonts w:ascii="Times New Roman" w:hAnsi="Times New Roman" w:eastAsia="仿宋" w:cs="Times New Roman"/>
          <w:bCs/>
          <w:color w:val="000000" w:themeColor="text1"/>
          <w:szCs w:val="21"/>
          <w:highlight w:val="none"/>
          <w:u w:val="single"/>
        </w:rPr>
      </w:pPr>
      <w:r>
        <w:rPr>
          <w:rFonts w:hint="eastAsia" w:ascii="Times New Roman" w:hAnsi="Times New Roman" w:eastAsia="仿宋" w:cs="Times New Roman"/>
          <w:bCs/>
          <w:color w:val="000000" w:themeColor="text1"/>
          <w:szCs w:val="21"/>
          <w:highlight w:val="none"/>
          <w:u w:val="single"/>
        </w:rPr>
        <w:t>（该表以招标文件正文第五章《项目需求》中“商务符合性要求”描述为准，请各投标人按序号作出响应，若出现前后不一致的情况，以招标文件正文第五章《项目需求》中“商务符合性要求”描述为准）</w:t>
      </w:r>
    </w:p>
    <w:tbl>
      <w:tblPr>
        <w:tblStyle w:val="55"/>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tabs>
                <w:tab w:val="left" w:pos="1050"/>
                <w:tab w:val="left" w:pos="1470"/>
              </w:tabs>
              <w:spacing w:line="240" w:lineRule="exact"/>
              <w:rPr>
                <w:rFonts w:ascii="Times New Roman" w:hAnsi="Times New Roman" w:eastAsia="宋体" w:cs="Times New Roman"/>
                <w:color w:val="000000" w:themeColor="text1"/>
                <w:sz w:val="18"/>
                <w:szCs w:val="21"/>
                <w:highlight w:val="none"/>
              </w:rPr>
            </w:pPr>
            <w:r>
              <w:rPr>
                <w:rFonts w:ascii="Times New Roman" w:hAnsi="Times New Roman" w:eastAsia="宋体" w:cs="Times New Roman"/>
                <w:color w:val="000000" w:themeColor="text1"/>
                <w:sz w:val="18"/>
                <w:szCs w:val="21"/>
                <w:highlight w:val="none"/>
              </w:rPr>
              <w:t>条款号</w:t>
            </w:r>
          </w:p>
        </w:tc>
        <w:tc>
          <w:tcPr>
            <w:tcW w:w="8383"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ascii="Times New Roman" w:hAnsi="Times New Roman" w:eastAsia="宋体" w:cs="Times New Roman"/>
                <w:color w:val="000000" w:themeColor="text1"/>
                <w:sz w:val="18"/>
                <w:szCs w:val="21"/>
                <w:highlight w:val="none"/>
              </w:rPr>
              <w:t>招标要求</w:t>
            </w:r>
          </w:p>
        </w:tc>
        <w:tc>
          <w:tcPr>
            <w:tcW w:w="663" w:type="dxa"/>
            <w:shd w:val="clear" w:color="auto" w:fill="BFBF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有否偏离</w:t>
            </w:r>
          </w:p>
        </w:tc>
        <w:tc>
          <w:tcPr>
            <w:tcW w:w="1276" w:type="dxa"/>
            <w:shd w:val="clear" w:color="auto" w:fill="BFBFBF"/>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如有偏离，</w:t>
            </w:r>
          </w:p>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1</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货物规格型号及数量：</w:t>
            </w:r>
            <w:r>
              <w:rPr>
                <w:rFonts w:ascii="Times New Roman" w:hAnsi="Times New Roman" w:eastAsia="宋体" w:cs="Times New Roman"/>
                <w:color w:val="000000" w:themeColor="text1"/>
                <w:szCs w:val="21"/>
                <w:highlight w:val="none"/>
              </w:rPr>
              <w:t>详见</w:t>
            </w:r>
            <w:r>
              <w:rPr>
                <w:rFonts w:hint="eastAsia" w:ascii="Times New Roman" w:hAnsi="Times New Roman" w:eastAsia="宋体" w:cs="Times New Roman"/>
                <w:color w:val="000000" w:themeColor="text1"/>
                <w:szCs w:val="21"/>
                <w:highlight w:val="none"/>
              </w:rPr>
              <w:t>本招标文件第二章《投标人须知前附表》</w:t>
            </w:r>
            <w:r>
              <w:rPr>
                <w:rFonts w:ascii="Times New Roman" w:hAnsi="Times New Roman" w:eastAsia="宋体" w:cs="Times New Roman"/>
                <w:color w:val="000000" w:themeColor="text1"/>
                <w:szCs w:val="21"/>
                <w:highlight w:val="none"/>
              </w:rPr>
              <w:t>。</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bCs/>
                <w:color w:val="000000" w:themeColor="text1"/>
                <w:szCs w:val="21"/>
                <w:highlight w:val="none"/>
              </w:rPr>
            </w:pPr>
            <w:r>
              <w:rPr>
                <w:rFonts w:ascii="Times New Roman" w:hAnsi="Times New Roman" w:eastAsia="宋体" w:cs="Times New Roman"/>
                <w:bCs/>
                <w:color w:val="000000" w:themeColor="text1"/>
                <w:szCs w:val="21"/>
                <w:highlight w:val="none"/>
              </w:rPr>
              <w:t>2</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交货/安装地点：详见本招标文件第二章《投标人须知前附表》。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3</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供货时间：详见本招标文件第二章《投标人须知前附表》。</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4</w:t>
            </w:r>
          </w:p>
        </w:tc>
        <w:tc>
          <w:tcPr>
            <w:tcW w:w="8383" w:type="dxa"/>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售后服务要求：详见本招标文件第一章《招标公告》。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5</w:t>
            </w:r>
          </w:p>
        </w:tc>
        <w:tc>
          <w:tcPr>
            <w:tcW w:w="8383" w:type="dxa"/>
            <w:vAlign w:val="center"/>
          </w:tcPr>
          <w:p>
            <w:pPr>
              <w:tabs>
                <w:tab w:val="left" w:pos="1050"/>
                <w:tab w:val="left" w:pos="1470"/>
              </w:tabs>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质量及验收要求</w:t>
            </w:r>
            <w:r>
              <w:rPr>
                <w:rFonts w:ascii="Times New Roman" w:hAnsi="Times New Roman" w:eastAsia="宋体" w:cs="Times New Roman"/>
                <w:color w:val="000000" w:themeColor="text1"/>
                <w:szCs w:val="21"/>
                <w:highlight w:val="none"/>
              </w:rPr>
              <w:t>：</w:t>
            </w:r>
            <w:r>
              <w:rPr>
                <w:rFonts w:hint="eastAsia" w:ascii="Times New Roman" w:hAnsi="Times New Roman" w:eastAsia="宋体" w:cs="Times New Roman"/>
                <w:color w:val="000000" w:themeColor="text1"/>
                <w:szCs w:val="21"/>
                <w:highlight w:val="none"/>
              </w:rPr>
              <w:t>详见本招标文件第一章《招标公告》。</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6</w:t>
            </w:r>
          </w:p>
        </w:tc>
        <w:tc>
          <w:tcPr>
            <w:tcW w:w="8383" w:type="dxa"/>
          </w:tcPr>
          <w:p>
            <w:pPr>
              <w:rPr>
                <w:rFonts w:ascii="Times New Roman" w:hAnsi="Times New Roman" w:eastAsia="宋体" w:cs="Times New Roman"/>
                <w:b/>
                <w:color w:val="000000" w:themeColor="text1"/>
                <w:szCs w:val="21"/>
                <w:highlight w:val="none"/>
              </w:rPr>
            </w:pPr>
            <w:r>
              <w:rPr>
                <w:rFonts w:hint="eastAsia" w:ascii="Times New Roman" w:hAnsi="Times New Roman" w:eastAsia="宋体" w:cs="Times New Roman"/>
                <w:color w:val="000000" w:themeColor="text1"/>
                <w:szCs w:val="21"/>
                <w:highlight w:val="none"/>
              </w:rPr>
              <w:t>付款方式：</w:t>
            </w:r>
            <w:r>
              <w:rPr>
                <w:rFonts w:hint="eastAsia" w:ascii="Times New Roman" w:hAnsi="Times New Roman" w:cs="Times New Roman"/>
                <w:color w:val="000000" w:themeColor="text1"/>
                <w:spacing w:val="-1"/>
                <w:highlight w:val="none"/>
                <w:lang w:val="ru-RU"/>
              </w:rPr>
              <w:t>根据实际的供货量进行付款。</w:t>
            </w:r>
          </w:p>
          <w:p>
            <w:pPr>
              <w:tabs>
                <w:tab w:val="left" w:pos="1050"/>
                <w:tab w:val="left" w:pos="1470"/>
              </w:tabs>
              <w:rPr>
                <w:rFonts w:ascii="Times New Roman" w:hAnsi="Times New Roman" w:eastAsia="仿宋" w:cs="Times New Roman"/>
                <w:bCs/>
                <w:color w:val="000000" w:themeColor="text1"/>
                <w:szCs w:val="21"/>
                <w:highlight w:val="none"/>
              </w:rPr>
            </w:pPr>
            <w:r>
              <w:rPr>
                <w:rFonts w:ascii="Times New Roman" w:hAnsi="Times New Roman" w:eastAsia="宋体" w:cs="Times New Roman"/>
                <w:b/>
                <w:color w:val="000000" w:themeColor="text1"/>
                <w:szCs w:val="21"/>
                <w:highlight w:val="none"/>
              </w:rPr>
              <w:t>特别说明，</w:t>
            </w:r>
            <w:r>
              <w:rPr>
                <w:rFonts w:hint="eastAsia" w:ascii="Times New Roman" w:hAnsi="Times New Roman" w:eastAsia="宋体" w:cs="Times New Roman"/>
                <w:b/>
                <w:color w:val="000000" w:themeColor="text1"/>
                <w:szCs w:val="21"/>
                <w:highlight w:val="none"/>
              </w:rPr>
              <w:t>每次付款前供应商须提供相应金额的增值税专用发票。</w:t>
            </w:r>
          </w:p>
        </w:tc>
        <w:tc>
          <w:tcPr>
            <w:tcW w:w="663" w:type="dxa"/>
          </w:tcPr>
          <w:p>
            <w:pPr>
              <w:tabs>
                <w:tab w:val="left" w:pos="1050"/>
                <w:tab w:val="left" w:pos="1470"/>
              </w:tabs>
              <w:rPr>
                <w:rFonts w:ascii="Times New Roman" w:hAnsi="Times New Roman" w:eastAsia="宋体" w:cs="Times New Roman"/>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7</w:t>
            </w:r>
          </w:p>
        </w:tc>
        <w:tc>
          <w:tcPr>
            <w:tcW w:w="8383" w:type="dxa"/>
          </w:tcPr>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1、履约担保金额：</w:t>
            </w:r>
            <w:r>
              <w:rPr>
                <w:rFonts w:hint="eastAsia" w:ascii="Times New Roman" w:hAnsi="Times New Roman" w:eastAsia="宋体" w:cs="Times New Roman"/>
                <w:color w:val="000000" w:themeColor="text1"/>
                <w:szCs w:val="21"/>
                <w:highlight w:val="none"/>
              </w:rPr>
              <w:t>合同总金额的5%</w:t>
            </w:r>
            <w:r>
              <w:rPr>
                <w:rFonts w:ascii="Times New Roman" w:hAnsi="Times New Roman" w:eastAsia="宋体" w:cs="Times New Roman"/>
                <w:color w:val="000000" w:themeColor="text1"/>
                <w:szCs w:val="21"/>
                <w:highlight w:val="none"/>
              </w:rPr>
              <w:t>；</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2、履约担保方式：银行转账支票、银行汇票；</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3、履约担保提交时间：中标人须收到中标通知书后</w:t>
            </w:r>
            <w:r>
              <w:rPr>
                <w:rFonts w:ascii="Times New Roman" w:hAnsi="Times New Roman" w:eastAsia="宋体" w:cs="Times New Roman"/>
                <w:color w:val="000000" w:themeColor="text1"/>
                <w:szCs w:val="21"/>
                <w:highlight w:val="none"/>
                <w:u w:val="single"/>
              </w:rPr>
              <w:t>10</w:t>
            </w:r>
            <w:r>
              <w:rPr>
                <w:rFonts w:ascii="Times New Roman" w:hAnsi="Times New Roman" w:eastAsia="宋体" w:cs="Times New Roman"/>
                <w:color w:val="000000" w:themeColor="text1"/>
                <w:szCs w:val="21"/>
                <w:highlight w:val="none"/>
              </w:rPr>
              <w:t>日内提交</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（户名：重庆银行股份有限公司账号：999801011407008  开户行：重庆银行股份有限公司</w:t>
            </w:r>
          </w:p>
          <w:p>
            <w:pPr>
              <w:numPr>
                <w:ilvl w:val="255"/>
                <w:numId w:val="0"/>
              </w:numPr>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行号：313653000013）；</w:t>
            </w:r>
          </w:p>
          <w:p>
            <w:pPr>
              <w:rPr>
                <w:rFonts w:ascii="Times New Roman" w:hAnsi="Times New Roman" w:eastAsia="仿宋" w:cs="Times New Roman"/>
                <w:bCs/>
                <w:color w:val="000000" w:themeColor="text1"/>
                <w:szCs w:val="21"/>
                <w:highlight w:val="none"/>
              </w:rPr>
            </w:pPr>
            <w:r>
              <w:rPr>
                <w:rFonts w:hint="eastAsia" w:ascii="Times New Roman" w:hAnsi="Times New Roman" w:eastAsia="宋体" w:cs="Times New Roman"/>
                <w:color w:val="000000" w:themeColor="text1"/>
                <w:szCs w:val="21"/>
                <w:highlight w:val="none"/>
              </w:rPr>
              <w:t>4、</w:t>
            </w:r>
            <w:r>
              <w:rPr>
                <w:rFonts w:ascii="Times New Roman" w:hAnsi="Times New Roman" w:eastAsia="宋体" w:cs="Times New Roman"/>
                <w:color w:val="000000" w:themeColor="text1"/>
                <w:szCs w:val="21"/>
                <w:highlight w:val="none"/>
              </w:rPr>
              <w:t>履约保证金退还时间：所有货物到货后，且至少使用半年验收合格后一次性</w:t>
            </w:r>
            <w:r>
              <w:rPr>
                <w:rFonts w:hint="eastAsia" w:ascii="Times New Roman" w:hAnsi="Times New Roman" w:eastAsia="宋体" w:cs="Times New Roman"/>
                <w:color w:val="000000" w:themeColor="text1"/>
                <w:szCs w:val="21"/>
                <w:highlight w:val="none"/>
              </w:rPr>
              <w:t>无息</w:t>
            </w:r>
            <w:r>
              <w:rPr>
                <w:rFonts w:ascii="Times New Roman" w:hAnsi="Times New Roman" w:eastAsia="宋体" w:cs="Times New Roman"/>
                <w:color w:val="000000" w:themeColor="text1"/>
                <w:szCs w:val="21"/>
                <w:highlight w:val="none"/>
              </w:rPr>
              <w:t>退还</w:t>
            </w:r>
            <w:r>
              <w:rPr>
                <w:rFonts w:hint="eastAsia" w:ascii="Times New Roman" w:hAnsi="Times New Roman" w:eastAsia="宋体" w:cs="Times New Roman"/>
                <w:color w:val="000000" w:themeColor="text1"/>
                <w:szCs w:val="21"/>
                <w:highlight w:val="none"/>
              </w:rPr>
              <w:t>；</w:t>
            </w:r>
            <w:r>
              <w:rPr>
                <w:rFonts w:ascii="Times New Roman" w:hAnsi="Times New Roman" w:eastAsia="宋体" w:cs="Times New Roman"/>
                <w:color w:val="000000" w:themeColor="text1"/>
                <w:szCs w:val="21"/>
                <w:highlight w:val="none"/>
              </w:rPr>
              <w:t>如有违约，仅退还扣除违约金后的余额</w:t>
            </w:r>
            <w:r>
              <w:rPr>
                <w:rFonts w:hint="eastAsia" w:ascii="Times New Roman" w:hAnsi="Times New Roman" w:eastAsia="宋体" w:cs="Times New Roman"/>
                <w:color w:val="000000" w:themeColor="text1"/>
                <w:szCs w:val="21"/>
                <w:highlight w:val="none"/>
              </w:rPr>
              <w:t>。</w:t>
            </w:r>
          </w:p>
        </w:tc>
        <w:tc>
          <w:tcPr>
            <w:tcW w:w="663" w:type="dxa"/>
          </w:tcPr>
          <w:p>
            <w:pPr>
              <w:tabs>
                <w:tab w:val="left" w:pos="1050"/>
                <w:tab w:val="left" w:pos="1470"/>
              </w:tabs>
              <w:rPr>
                <w:rFonts w:ascii="Times New Roman" w:hAnsi="Times New Roman" w:eastAsia="宋体" w:cs="Times New Roman"/>
                <w:bCs/>
                <w:color w:val="000000" w:themeColor="text1"/>
                <w:szCs w:val="21"/>
                <w:highlight w:val="none"/>
              </w:rPr>
            </w:pPr>
          </w:p>
        </w:tc>
        <w:tc>
          <w:tcPr>
            <w:tcW w:w="1276" w:type="dxa"/>
          </w:tcPr>
          <w:p>
            <w:pPr>
              <w:tabs>
                <w:tab w:val="left" w:pos="1050"/>
                <w:tab w:val="left" w:pos="1470"/>
              </w:tabs>
              <w:rPr>
                <w:rFonts w:ascii="Times New Roman" w:hAnsi="Times New Roman" w:eastAsia="宋体" w:cs="Times New Roman"/>
                <w:bCs/>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452" w:type="dxa"/>
            <w:vAlign w:val="center"/>
          </w:tcPr>
          <w:p>
            <w:pPr>
              <w:tabs>
                <w:tab w:val="left" w:pos="1050"/>
                <w:tab w:val="left" w:pos="1470"/>
              </w:tabs>
              <w:rPr>
                <w:rFonts w:ascii="Times New Roman" w:hAnsi="Times New Roman" w:eastAsia="宋体" w:cs="Times New Roman"/>
                <w:color w:val="000000" w:themeColor="text1"/>
                <w:szCs w:val="21"/>
                <w:highlight w:val="none"/>
              </w:rPr>
            </w:pPr>
            <w:r>
              <w:rPr>
                <w:rFonts w:hint="eastAsia" w:ascii="Times New Roman" w:hAnsi="Times New Roman" w:eastAsia="宋体" w:cs="Times New Roman"/>
                <w:color w:val="000000" w:themeColor="text1"/>
                <w:szCs w:val="21"/>
                <w:highlight w:val="none"/>
              </w:rPr>
              <w:t>8</w:t>
            </w:r>
          </w:p>
        </w:tc>
        <w:tc>
          <w:tcPr>
            <w:tcW w:w="8383" w:type="dxa"/>
          </w:tcPr>
          <w:p>
            <w:pPr>
              <w:pStyle w:val="12"/>
              <w:rPr>
                <w:rFonts w:ascii="Times New Roman" w:hAnsi="Times New Roman" w:eastAsia="仿宋" w:cs="Times New Roman"/>
                <w:bCs/>
                <w:color w:val="000000" w:themeColor="text1"/>
                <w:szCs w:val="21"/>
                <w:highlight w:val="none"/>
              </w:rPr>
            </w:pPr>
            <w:r>
              <w:rPr>
                <w:rFonts w:ascii="Times New Roman" w:hAnsi="Times New Roman" w:eastAsia="宋体" w:cs="Times New Roman"/>
                <w:color w:val="000000" w:themeColor="text1"/>
                <w:szCs w:val="21"/>
                <w:highlight w:val="none"/>
              </w:rPr>
              <w:t>供货商需免费提供三套(全新iPad+背夹)测试设备供行方持续测试，设备归行方所有且不能转销售</w:t>
            </w:r>
            <w:r>
              <w:rPr>
                <w:rFonts w:hint="eastAsia" w:ascii="Times New Roman" w:hAnsi="Times New Roman" w:eastAsia="宋体" w:cs="Times New Roman"/>
                <w:color w:val="000000" w:themeColor="text1"/>
                <w:szCs w:val="21"/>
                <w:highlight w:val="none"/>
              </w:rPr>
              <w:t>。</w:t>
            </w:r>
          </w:p>
        </w:tc>
        <w:tc>
          <w:tcPr>
            <w:tcW w:w="663" w:type="dxa"/>
          </w:tcPr>
          <w:p>
            <w:pPr>
              <w:rPr>
                <w:rFonts w:ascii="Times New Roman" w:hAnsi="Times New Roman" w:eastAsia="宋体" w:cs="Times New Roman"/>
                <w:color w:val="000000" w:themeColor="text1"/>
                <w:szCs w:val="21"/>
                <w:highlight w:val="none"/>
              </w:rPr>
            </w:pPr>
          </w:p>
        </w:tc>
        <w:tc>
          <w:tcPr>
            <w:tcW w:w="1276" w:type="dxa"/>
          </w:tcPr>
          <w:p>
            <w:pPr>
              <w:rPr>
                <w:rFonts w:ascii="Times New Roman" w:hAnsi="Times New Roman" w:eastAsia="宋体" w:cs="Times New Roman"/>
                <w:color w:val="000000" w:themeColor="text1"/>
                <w:szCs w:val="21"/>
                <w:highlight w:val="none"/>
              </w:rPr>
            </w:pPr>
          </w:p>
        </w:tc>
      </w:tr>
    </w:tbl>
    <w:p>
      <w:pPr>
        <w:tabs>
          <w:tab w:val="left" w:pos="6300"/>
        </w:tabs>
        <w:snapToGrid w:val="0"/>
        <w:spacing w:line="320" w:lineRule="exact"/>
        <w:rPr>
          <w:rFonts w:ascii="宋体" w:hAnsi="宋体" w:eastAsia="宋体" w:cs="Times New Roman"/>
          <w:b/>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tabs>
          <w:tab w:val="left" w:pos="6300"/>
        </w:tabs>
        <w:snapToGrid w:val="0"/>
        <w:spacing w:line="320" w:lineRule="exact"/>
        <w:rPr>
          <w:rFonts w:ascii="宋体" w:hAnsi="宋体" w:eastAsia="宋体" w:cs="Times New Roman"/>
          <w:b/>
          <w:color w:val="000000" w:themeColor="text1"/>
          <w:szCs w:val="21"/>
          <w:highlight w:val="none"/>
        </w:rPr>
      </w:pPr>
    </w:p>
    <w:p>
      <w:pPr>
        <w:tabs>
          <w:tab w:val="left" w:pos="6300"/>
        </w:tabs>
        <w:snapToGrid w:val="0"/>
        <w:spacing w:line="320" w:lineRule="exact"/>
        <w:rPr>
          <w:rFonts w:ascii="宋体" w:hAnsi="宋体" w:eastAsia="宋体" w:cs="Times New Roman"/>
          <w:b/>
          <w:color w:val="000000" w:themeColor="text1"/>
          <w:szCs w:val="21"/>
          <w:highlight w:val="none"/>
        </w:rPr>
      </w:pPr>
      <w:r>
        <w:rPr>
          <w:rFonts w:hint="eastAsia" w:ascii="宋体" w:hAnsi="宋体" w:eastAsia="宋体" w:cs="Times New Roman"/>
          <w:b/>
          <w:color w:val="000000" w:themeColor="text1"/>
          <w:szCs w:val="21"/>
          <w:highlight w:val="none"/>
        </w:rPr>
        <w:t>投标人：（公章）</w:t>
      </w:r>
    </w:p>
    <w:p>
      <w:pPr>
        <w:spacing w:line="320" w:lineRule="exact"/>
        <w:rPr>
          <w:rFonts w:ascii="宋体" w:hAnsi="宋体" w:eastAsia="宋体" w:cs="Times New Roman"/>
          <w:color w:val="000000" w:themeColor="text1"/>
          <w:szCs w:val="21"/>
          <w:highlight w:val="none"/>
        </w:rPr>
      </w:pPr>
      <w:r>
        <w:rPr>
          <w:rFonts w:hint="eastAsia" w:ascii="宋体" w:hAnsi="宋体" w:eastAsia="宋体" w:cs="Times New Roman"/>
          <w:b/>
          <w:color w:val="000000" w:themeColor="text1"/>
          <w:szCs w:val="21"/>
          <w:highlight w:val="none"/>
        </w:rPr>
        <w:t>法定代表人或其委托代理人：（盖章或签字）</w:t>
      </w:r>
    </w:p>
    <w:p>
      <w:pPr>
        <w:spacing w:line="320" w:lineRule="exact"/>
        <w:ind w:firstLine="1890" w:firstLineChars="900"/>
        <w:rPr>
          <w:rFonts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年   月   日</w:t>
      </w:r>
    </w:p>
    <w:p>
      <w:pPr>
        <w:spacing w:line="320" w:lineRule="exact"/>
        <w:jc w:val="left"/>
        <w:rPr>
          <w:rFonts w:ascii="Times New Roman" w:hAnsi="Times New Roman" w:cs="Times New Roman"/>
          <w:color w:val="000000" w:themeColor="text1"/>
          <w:spacing w:val="-1"/>
          <w:highlight w:val="none"/>
          <w:lang w:val="ru-RU"/>
        </w:rPr>
        <w:sectPr>
          <w:headerReference r:id="rId22" w:type="default"/>
          <w:footerReference r:id="rId23" w:type="default"/>
          <w:pgSz w:w="11906" w:h="16838"/>
          <w:pgMar w:top="1440" w:right="1797" w:bottom="993" w:left="1644" w:header="851" w:footer="992" w:gutter="0"/>
          <w:cols w:space="720" w:num="1"/>
          <w:docGrid w:type="lines" w:linePitch="312" w:charSpace="0"/>
        </w:sectPr>
      </w:pPr>
    </w:p>
    <w:p>
      <w:pPr>
        <w:keepNext/>
        <w:keepLines/>
        <w:tabs>
          <w:tab w:val="left" w:pos="1418"/>
        </w:tabs>
        <w:spacing w:line="280" w:lineRule="exact"/>
        <w:jc w:val="left"/>
        <w:rPr>
          <w:color w:val="000000" w:themeColor="text1"/>
          <w:highlight w:val="none"/>
        </w:rPr>
      </w:pPr>
      <w:r>
        <w:rPr>
          <w:rFonts w:hint="eastAsia"/>
          <w:color w:val="000000" w:themeColor="text1"/>
          <w:highlight w:val="none"/>
        </w:rPr>
        <w:t>附件3：</w:t>
      </w:r>
    </w:p>
    <w:p>
      <w:pPr>
        <w:keepNext/>
        <w:keepLines/>
        <w:tabs>
          <w:tab w:val="left" w:pos="1418"/>
        </w:tabs>
        <w:spacing w:line="280" w:lineRule="exact"/>
        <w:jc w:val="left"/>
        <w:rPr>
          <w:color w:val="000000" w:themeColor="text1"/>
          <w:highlight w:val="none"/>
        </w:rPr>
      </w:pPr>
    </w:p>
    <w:p>
      <w:pPr>
        <w:keepNext/>
        <w:keepLines/>
        <w:tabs>
          <w:tab w:val="left" w:pos="1418"/>
        </w:tabs>
        <w:spacing w:line="280" w:lineRule="exact"/>
        <w:jc w:val="center"/>
        <w:rPr>
          <w:rFonts w:ascii="Times New Roman" w:hAnsi="Times New Roman" w:eastAsia="仿宋" w:cs="Times New Roman"/>
          <w:b/>
          <w:bCs/>
          <w:color w:val="000000" w:themeColor="text1"/>
          <w:kern w:val="0"/>
          <w:sz w:val="30"/>
          <w:szCs w:val="30"/>
          <w:highlight w:val="none"/>
        </w:rPr>
      </w:pPr>
      <w:r>
        <w:rPr>
          <w:rFonts w:hint="eastAsia" w:ascii="Times New Roman" w:hAnsi="Times New Roman" w:eastAsia="仿宋" w:cs="Times New Roman"/>
          <w:b/>
          <w:bCs/>
          <w:color w:val="000000" w:themeColor="text1"/>
          <w:kern w:val="0"/>
          <w:sz w:val="30"/>
          <w:szCs w:val="30"/>
          <w:highlight w:val="none"/>
        </w:rPr>
        <w:t>分包二：移动展业平台配套硬件技术符合性应答表</w:t>
      </w:r>
    </w:p>
    <w:p>
      <w:pPr>
        <w:widowControl/>
        <w:rPr>
          <w:rFonts w:ascii="宋体" w:hAnsi="宋体" w:eastAsia="宋体" w:cs="宋体"/>
          <w:color w:val="000000" w:themeColor="text1"/>
          <w:kern w:val="0"/>
          <w:szCs w:val="21"/>
          <w:highlight w:val="none"/>
        </w:rPr>
      </w:pPr>
    </w:p>
    <w:p>
      <w:pPr>
        <w:widowControl/>
        <w:rPr>
          <w:rFonts w:ascii="Times New Roman" w:hAnsi="Times New Roman" w:cs="Times New Roman"/>
          <w:color w:val="000000" w:themeColor="text1"/>
          <w:spacing w:val="-1"/>
          <w:highlight w:val="none"/>
          <w:lang w:val="ru-RU"/>
        </w:rPr>
      </w:pPr>
      <w:r>
        <w:rPr>
          <w:rFonts w:hint="eastAsia" w:ascii="宋体" w:hAnsi="宋体" w:eastAsia="宋体" w:cs="宋体"/>
          <w:color w:val="000000" w:themeColor="text1"/>
          <w:kern w:val="0"/>
          <w:szCs w:val="21"/>
          <w:highlight w:val="none"/>
        </w:rPr>
        <w:t>（该表以招标文件正文第五章《项目需求》中“技术符合性要求”描述为准，请各投标人按序号作出响应，若出现前后不一致的情况，以招标文件正文第五章《项目需求》中“技术符合性要求”描述为准）</w:t>
      </w:r>
    </w:p>
    <w:p>
      <w:pPr>
        <w:spacing w:line="320" w:lineRule="exact"/>
        <w:jc w:val="left"/>
        <w:rPr>
          <w:rFonts w:ascii="Times New Roman" w:hAnsi="Times New Roman" w:cs="Times New Roman"/>
          <w:color w:val="000000" w:themeColor="text1"/>
          <w:spacing w:val="-1"/>
          <w:highlight w:val="none"/>
          <w:lang w:val="ru-RU"/>
        </w:rPr>
      </w:pPr>
    </w:p>
    <w:tbl>
      <w:tblPr>
        <w:tblStyle w:val="55"/>
        <w:tblW w:w="9526" w:type="dxa"/>
        <w:jc w:val="center"/>
        <w:tblInd w:w="541" w:type="dxa"/>
        <w:tblLayout w:type="fixed"/>
        <w:tblCellMar>
          <w:top w:w="0" w:type="dxa"/>
          <w:left w:w="108" w:type="dxa"/>
          <w:bottom w:w="0" w:type="dxa"/>
          <w:right w:w="108" w:type="dxa"/>
        </w:tblCellMar>
      </w:tblPr>
      <w:tblGrid>
        <w:gridCol w:w="490"/>
        <w:gridCol w:w="648"/>
        <w:gridCol w:w="1109"/>
        <w:gridCol w:w="4217"/>
        <w:gridCol w:w="963"/>
        <w:gridCol w:w="963"/>
        <w:gridCol w:w="1136"/>
      </w:tblGrid>
      <w:tr>
        <w:tblPrEx>
          <w:tblLayout w:type="fixed"/>
          <w:tblCellMar>
            <w:top w:w="0" w:type="dxa"/>
            <w:left w:w="108" w:type="dxa"/>
            <w:bottom w:w="0" w:type="dxa"/>
            <w:right w:w="108" w:type="dxa"/>
          </w:tblCellMar>
        </w:tblPrEx>
        <w:trPr>
          <w:trHeight w:val="495" w:hRule="atLeast"/>
          <w:jc w:val="center"/>
        </w:trPr>
        <w:tc>
          <w:tcPr>
            <w:tcW w:w="490" w:type="dxa"/>
            <w:tcBorders>
              <w:top w:val="single" w:color="auto" w:sz="4" w:space="0"/>
              <w:left w:val="single" w:color="auto" w:sz="4" w:space="0"/>
              <w:right w:val="single" w:color="auto" w:sz="4" w:space="0"/>
            </w:tcBorders>
            <w:shd w:val="clear" w:color="auto" w:fill="C3BD96" w:themeFill="background2" w:themeFillShade="BF"/>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序</w:t>
            </w:r>
          </w:p>
        </w:tc>
        <w:tc>
          <w:tcPr>
            <w:tcW w:w="5974" w:type="dxa"/>
            <w:gridSpan w:val="3"/>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pPr>
              <w:widowControl/>
              <w:jc w:val="center"/>
              <w:rPr>
                <w:rFonts w:ascii="宋体" w:hAnsi="宋体" w:eastAsia="宋体" w:cs="宋体"/>
                <w:color w:val="000000" w:themeColor="text1"/>
                <w:kern w:val="0"/>
                <w:szCs w:val="21"/>
                <w:highlight w:val="none"/>
              </w:rPr>
            </w:pPr>
            <w:r>
              <w:rPr>
                <w:rFonts w:hint="eastAsia" w:ascii="Times New Roman" w:hAnsi="Times New Roman" w:cs="Times New Roman"/>
                <w:color w:val="000000" w:themeColor="text1"/>
                <w:spacing w:val="-1"/>
                <w:highlight w:val="none"/>
                <w:lang w:val="ru-RU"/>
              </w:rPr>
              <w:t>详细的货物技术标准要求</w:t>
            </w:r>
          </w:p>
        </w:tc>
        <w:tc>
          <w:tcPr>
            <w:tcW w:w="963" w:type="dxa"/>
            <w:tcBorders>
              <w:top w:val="single" w:color="auto" w:sz="4" w:space="0"/>
              <w:left w:val="nil"/>
              <w:bottom w:val="single" w:color="auto" w:sz="4" w:space="0"/>
              <w:right w:val="single" w:color="auto" w:sz="4" w:space="0"/>
            </w:tcBorders>
            <w:shd w:val="clear" w:color="auto" w:fill="C3BD96" w:themeFill="background2" w:themeFillShade="BF"/>
            <w:vAlign w:val="center"/>
          </w:tcPr>
          <w:p>
            <w:pPr>
              <w:widowControl/>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具体参数描述</w:t>
            </w:r>
          </w:p>
        </w:tc>
        <w:tc>
          <w:tcPr>
            <w:tcW w:w="963" w:type="dxa"/>
            <w:tcBorders>
              <w:top w:val="single" w:color="auto" w:sz="4" w:space="0"/>
              <w:left w:val="nil"/>
              <w:bottom w:val="single" w:color="auto" w:sz="4" w:space="0"/>
              <w:right w:val="single" w:color="auto" w:sz="4" w:space="0"/>
            </w:tcBorders>
            <w:shd w:val="clear" w:color="auto" w:fill="C3BD96" w:themeFill="background2" w:themeFillShade="BF"/>
            <w:vAlign w:val="center"/>
          </w:tcPr>
          <w:p>
            <w:pPr>
              <w:widowControl/>
              <w:jc w:val="center"/>
              <w:rPr>
                <w:rFonts w:ascii="宋体" w:hAnsi="宋体" w:eastAsia="宋体" w:cs="宋体"/>
                <w:color w:val="000000" w:themeColor="text1"/>
                <w:kern w:val="0"/>
                <w:szCs w:val="21"/>
                <w:highlight w:val="none"/>
              </w:rPr>
            </w:pPr>
            <w:r>
              <w:rPr>
                <w:rFonts w:hint="eastAsia" w:ascii="Times New Roman" w:hAnsi="Times New Roman" w:eastAsia="宋体" w:cs="Times New Roman"/>
                <w:color w:val="000000" w:themeColor="text1"/>
                <w:sz w:val="18"/>
                <w:szCs w:val="21"/>
                <w:highlight w:val="none"/>
              </w:rPr>
              <w:t>有否偏离</w:t>
            </w:r>
          </w:p>
        </w:tc>
        <w:tc>
          <w:tcPr>
            <w:tcW w:w="1136" w:type="dxa"/>
            <w:tcBorders>
              <w:top w:val="single" w:color="auto" w:sz="4" w:space="0"/>
              <w:left w:val="nil"/>
              <w:bottom w:val="single" w:color="auto" w:sz="4" w:space="0"/>
              <w:right w:val="single" w:color="auto" w:sz="4" w:space="0"/>
            </w:tcBorders>
            <w:shd w:val="clear" w:color="auto" w:fill="C3BD96" w:themeFill="background2" w:themeFillShade="BF"/>
            <w:vAlign w:val="center"/>
          </w:tcPr>
          <w:p>
            <w:pPr>
              <w:tabs>
                <w:tab w:val="left" w:pos="1050"/>
                <w:tab w:val="left" w:pos="1470"/>
              </w:tabs>
              <w:spacing w:line="240" w:lineRule="exact"/>
              <w:jc w:val="center"/>
              <w:rPr>
                <w:rFonts w:ascii="Times New Roman" w:hAnsi="Times New Roman" w:eastAsia="宋体" w:cs="Times New Roman"/>
                <w:color w:val="000000" w:themeColor="text1"/>
                <w:sz w:val="18"/>
                <w:szCs w:val="21"/>
                <w:highlight w:val="none"/>
              </w:rPr>
            </w:pPr>
            <w:r>
              <w:rPr>
                <w:rFonts w:hint="eastAsia" w:ascii="Times New Roman" w:hAnsi="Times New Roman" w:eastAsia="宋体" w:cs="Times New Roman"/>
                <w:color w:val="000000" w:themeColor="text1"/>
                <w:sz w:val="18"/>
                <w:szCs w:val="21"/>
                <w:highlight w:val="none"/>
              </w:rPr>
              <w:t>如有偏离，</w:t>
            </w:r>
          </w:p>
          <w:p>
            <w:pPr>
              <w:widowControl/>
              <w:rPr>
                <w:rFonts w:ascii="宋体" w:hAnsi="宋体" w:eastAsia="宋体" w:cs="宋体"/>
                <w:color w:val="000000" w:themeColor="text1"/>
                <w:kern w:val="0"/>
                <w:szCs w:val="21"/>
                <w:highlight w:val="none"/>
              </w:rPr>
            </w:pPr>
            <w:r>
              <w:rPr>
                <w:rFonts w:hint="eastAsia" w:ascii="Times New Roman" w:hAnsi="Times New Roman" w:eastAsia="宋体" w:cs="Times New Roman"/>
                <w:color w:val="000000" w:themeColor="text1"/>
                <w:sz w:val="18"/>
                <w:szCs w:val="21"/>
                <w:highlight w:val="none"/>
              </w:rPr>
              <w:t>请自此备注偏离内容</w:t>
            </w:r>
          </w:p>
        </w:tc>
      </w:tr>
      <w:tr>
        <w:tblPrEx>
          <w:tblLayout w:type="fixed"/>
          <w:tblCellMar>
            <w:top w:w="0" w:type="dxa"/>
            <w:left w:w="108" w:type="dxa"/>
            <w:bottom w:w="0" w:type="dxa"/>
            <w:right w:w="108" w:type="dxa"/>
          </w:tblCellMar>
        </w:tblPrEx>
        <w:trPr>
          <w:trHeight w:val="495" w:hRule="atLeast"/>
          <w:jc w:val="center"/>
        </w:trPr>
        <w:tc>
          <w:tcPr>
            <w:tcW w:w="490"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w:t>
            </w:r>
          </w:p>
        </w:tc>
        <w:tc>
          <w:tcPr>
            <w:tcW w:w="648"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整体参数</w:t>
            </w: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外观形态</w:t>
            </w:r>
          </w:p>
        </w:tc>
        <w:tc>
          <w:tcPr>
            <w:tcW w:w="421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设备底部有防滑固定装置设计</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0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nil"/>
              <w:left w:val="nil"/>
              <w:bottom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材质用料</w:t>
            </w:r>
          </w:p>
        </w:tc>
        <w:tc>
          <w:tcPr>
            <w:tcW w:w="421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w:t>
            </w:r>
            <w:r>
              <w:rPr>
                <w:rFonts w:ascii="宋体" w:hAnsi="宋体" w:eastAsia="宋体" w:cs="宋体"/>
                <w:color w:val="000000" w:themeColor="text1"/>
                <w:kern w:val="0"/>
                <w:szCs w:val="21"/>
                <w:highlight w:val="none"/>
              </w:rPr>
              <w:t>ABS+PC</w:t>
            </w:r>
            <w:r>
              <w:rPr>
                <w:rFonts w:hint="eastAsia" w:ascii="宋体" w:hAnsi="宋体" w:eastAsia="宋体" w:cs="宋体"/>
                <w:color w:val="000000" w:themeColor="text1"/>
                <w:kern w:val="0"/>
                <w:szCs w:val="21"/>
                <w:highlight w:val="none"/>
              </w:rPr>
              <w:t>环保材质，有害物质的排放符合我国要求</w:t>
            </w: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Logo标识</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机身上印制重庆银行logo，各功能模块有清晰操作指引</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w:t>
            </w:r>
          </w:p>
        </w:tc>
        <w:tc>
          <w:tcPr>
            <w:tcW w:w="64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附件</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1.免费提供配套真皮皮套，加印重庆银行logo,可有效整合iPad和背夹设备放入，交付前提供设计图给行方确认；</w:t>
            </w:r>
            <w:r>
              <w:rPr>
                <w:rFonts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2.免费提供配套便携手提包，加印重庆银行logo，设计合理，交付前提供设计图给行方确认</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w:t>
            </w:r>
          </w:p>
        </w:tc>
        <w:tc>
          <w:tcPr>
            <w:tcW w:w="648"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硬件参数</w:t>
            </w: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CPU</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四核，主频1.2GHZ</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w:t>
            </w:r>
          </w:p>
        </w:tc>
        <w:tc>
          <w:tcPr>
            <w:tcW w:w="648"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内存</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1GB</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w:t>
            </w:r>
          </w:p>
        </w:tc>
        <w:tc>
          <w:tcPr>
            <w:tcW w:w="648"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存储</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8GB</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w:t>
            </w:r>
          </w:p>
        </w:tc>
        <w:tc>
          <w:tcPr>
            <w:tcW w:w="648" w:type="dxa"/>
            <w:vMerge w:val="continue"/>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显示屏</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5英寸，分辨率1280 x 720</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29"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9</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restart"/>
            <w:tcBorders>
              <w:top w:val="nil"/>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电池</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可充电锂电池，4.35V， 6100mAh</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21"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10</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支持设备连续运行8小时</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98"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11</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支持电池可更换</w:t>
            </w: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12</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扬声器</w:t>
            </w:r>
          </w:p>
        </w:tc>
        <w:tc>
          <w:tcPr>
            <w:tcW w:w="4217"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w:t>
            </w: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蓝牙通讯模块</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支持蓝牙4.0</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14</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开关要求</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机身有电源开关</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15</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供电要求</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电源、电池供电（续航时间、电量不足提示）</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16</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指示灯</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7个指示灯：IC 卡， 二代证， 磁卡，指纹， 蓝牙，运行， 充电</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17</w:t>
            </w:r>
          </w:p>
        </w:tc>
        <w:tc>
          <w:tcPr>
            <w:tcW w:w="64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线缆插口</w:t>
            </w:r>
          </w:p>
        </w:tc>
        <w:tc>
          <w:tcPr>
            <w:tcW w:w="4217"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USB接口</w:t>
            </w:r>
          </w:p>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外接电源口，外接电源时同时具备供电和对电池充电功能</w:t>
            </w: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18</w:t>
            </w:r>
          </w:p>
        </w:tc>
        <w:tc>
          <w:tcPr>
            <w:tcW w:w="648"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软件要求</w:t>
            </w:r>
          </w:p>
        </w:tc>
        <w:tc>
          <w:tcPr>
            <w:tcW w:w="1109" w:type="dxa"/>
            <w:tcBorders>
              <w:top w:val="single" w:color="auto" w:sz="4" w:space="0"/>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驱动程序</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按照银行的要求提供驱动文件以及测试设备</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19</w:t>
            </w:r>
          </w:p>
        </w:tc>
        <w:tc>
          <w:tcPr>
            <w:tcW w:w="64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支持操作系统</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支持Android、Win8、iOS系统的平板电脑适配。需提供iPad（A1823）型号在移动背夹上功能适配。</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20</w:t>
            </w:r>
          </w:p>
        </w:tc>
        <w:tc>
          <w:tcPr>
            <w:tcW w:w="648" w:type="dxa"/>
            <w:vMerge w:val="restart"/>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模块参数</w:t>
            </w:r>
          </w:p>
        </w:tc>
        <w:tc>
          <w:tcPr>
            <w:tcW w:w="1109"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密码键盘</w:t>
            </w:r>
          </w:p>
        </w:tc>
        <w:tc>
          <w:tcPr>
            <w:tcW w:w="4217"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支持实体按键输入(12键， 数字键+取消+确认），按键寿命&gt;=100万次，有按键提示音，全部按键支持盲文</w:t>
            </w: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96"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21</w:t>
            </w:r>
          </w:p>
        </w:tc>
        <w:tc>
          <w:tcPr>
            <w:tcW w:w="648"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支持3DES、DES、MAC加密算法及ANSI X9.8PIN Block格式，符合ANSI X9.24安全标准，支持国密；</w:t>
            </w: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02"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22</w:t>
            </w:r>
          </w:p>
        </w:tc>
        <w:tc>
          <w:tcPr>
            <w:tcW w:w="648"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通过国家密码管理局的商用密码产品型号证书认证；</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07"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23</w:t>
            </w:r>
          </w:p>
        </w:tc>
        <w:tc>
          <w:tcPr>
            <w:tcW w:w="648"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支持灌注主密钥；拆机密钥自毁；</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74"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24</w:t>
            </w:r>
          </w:p>
        </w:tc>
        <w:tc>
          <w:tcPr>
            <w:tcW w:w="648"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有防窥设计；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50" w:hRule="atLeast"/>
          <w:jc w:val="center"/>
        </w:trPr>
        <w:tc>
          <w:tcPr>
            <w:tcW w:w="490" w:type="dxa"/>
            <w:tcBorders>
              <w:left w:val="single" w:color="auto" w:sz="4" w:space="0"/>
              <w:right w:val="single" w:color="auto" w:sz="4" w:space="0"/>
            </w:tcBorders>
            <w:vAlign w:val="center"/>
          </w:tcPr>
          <w:p>
            <w:pPr>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25</w:t>
            </w:r>
          </w:p>
        </w:tc>
        <w:tc>
          <w:tcPr>
            <w:tcW w:w="648" w:type="dxa"/>
            <w:vMerge w:val="continue"/>
            <w:tcBorders>
              <w:left w:val="single" w:color="auto" w:sz="4" w:space="0"/>
              <w:right w:val="single" w:color="auto" w:sz="4" w:space="0"/>
            </w:tcBorders>
            <w:vAlign w:val="center"/>
          </w:tcPr>
          <w:p>
            <w:pPr>
              <w:rPr>
                <w:rFonts w:ascii="宋体" w:hAnsi="宋体" w:eastAsia="宋体" w:cs="宋体"/>
                <w:color w:val="000000" w:themeColor="text1"/>
                <w:kern w:val="0"/>
                <w:szCs w:val="21"/>
                <w:highlight w:val="none"/>
              </w:rPr>
            </w:pPr>
          </w:p>
        </w:tc>
        <w:tc>
          <w:tcPr>
            <w:tcW w:w="1109" w:type="dxa"/>
            <w:vMerge w:val="continue"/>
            <w:tcBorders>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满足重庆银行相关技术规范</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26</w:t>
            </w:r>
          </w:p>
        </w:tc>
        <w:tc>
          <w:tcPr>
            <w:tcW w:w="648" w:type="dxa"/>
            <w:vMerge w:val="continue"/>
            <w:tcBorders>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09"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磁条读写器</w:t>
            </w:r>
          </w:p>
        </w:tc>
        <w:tc>
          <w:tcPr>
            <w:tcW w:w="421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支持磁条卡读取，符合《银行卡磁条信息格式和使用规范》的要求</w:t>
            </w: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27</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支持读取ISO7810和7811、ISO7811-1/2/4/5/6标准的磁条卡；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28</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支持读取高低抗磁条卡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29</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符合银联相关标准，支持读取高抗及低抗存折、借记卡、贷记卡；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30</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 xml:space="preserve">支持双向划卡； </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31</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读取ANSL/IS0/AAWA标准之三轨磁条卡数据</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32</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themeColor="text1"/>
                <w:szCs w:val="21"/>
                <w:highlight w:val="none"/>
              </w:rPr>
            </w:pPr>
            <w:r>
              <w:rPr>
                <w:rFonts w:hint="eastAsia" w:ascii="宋体" w:hAnsi="宋体" w:eastAsia="宋体" w:cs="宋体"/>
                <w:color w:val="000000" w:themeColor="text1"/>
                <w:kern w:val="0"/>
                <w:szCs w:val="21"/>
                <w:highlight w:val="none"/>
              </w:rPr>
              <w:t>刷卡速度范围：10cm/ps-100cm/ps</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磁头寿命：刷卡次数大于100万次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34</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接触式IC卡</w:t>
            </w:r>
          </w:p>
        </w:tc>
        <w:tc>
          <w:tcPr>
            <w:tcW w:w="421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支持接触式IC卡读写，符合《全国工业产品生产许可证》的要求</w:t>
            </w: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35</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符合人行PBOC2.0/3.0标准认证；</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36</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符合ISO7816-1/2/3的3V/5V接触式CPU卡；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37</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 GB/T 15120.1-1994、GB/T 15120.2-1994、GB/T 15120.3-1994、GB/T15120.4-1994、GB/T 15120.5-1994 的规定。符合 GB/T 14916-2006、GB/T 16649.1-2006、GB/T 16649.2-2006、GB/T 16649.3-2006 的规定；</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38</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卡座寿命&gt;50万次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39</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非接触式IC卡</w:t>
            </w:r>
          </w:p>
        </w:tc>
        <w:tc>
          <w:tcPr>
            <w:tcW w:w="4217" w:type="dxa"/>
            <w:tcBorders>
              <w:top w:val="nil"/>
              <w:left w:val="nil"/>
              <w:bottom w:val="single" w:color="auto" w:sz="4" w:space="0"/>
              <w:right w:val="single" w:color="auto" w:sz="4" w:space="0"/>
            </w:tcBorders>
            <w:shd w:val="clear" w:color="000000" w:fill="FFFFFF"/>
          </w:tcPr>
          <w:p>
            <w:pPr>
              <w:widowControl/>
              <w:rPr>
                <w:rFonts w:ascii="宋体" w:hAnsi="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通讯方式：USB 接口 \RS232 接口</w:t>
            </w:r>
          </w:p>
        </w:tc>
        <w:tc>
          <w:tcPr>
            <w:tcW w:w="963"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40</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卡座寿命：10 万次</w:t>
            </w:r>
          </w:p>
        </w:tc>
        <w:tc>
          <w:tcPr>
            <w:tcW w:w="963"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41</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能够正确读出IC卡信息</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42</w:t>
            </w:r>
          </w:p>
        </w:tc>
        <w:tc>
          <w:tcPr>
            <w:tcW w:w="648" w:type="dxa"/>
            <w:vMerge w:val="restart"/>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支持重庆银行现有IC卡品种</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left w:val="single" w:color="auto"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使用图形和文字独立表示非接触式IC卡读卡区域</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69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44</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 xml:space="preserve">支持卡片类型： </w:t>
            </w:r>
            <w:r>
              <w:rPr>
                <w:rFonts w:hint="eastAsia"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 xml:space="preserve">符合 ISO-7816标准的 A、B 和 C 等级(5V)； </w:t>
            </w:r>
            <w:r>
              <w:rPr>
                <w:rFonts w:hint="eastAsia" w:ascii="宋体" w:hAnsi="宋体" w:eastAsia="宋体" w:cs="宋体"/>
                <w:color w:val="000000" w:themeColor="text1"/>
                <w:kern w:val="0"/>
                <w:szCs w:val="21"/>
                <w:highlight w:val="none"/>
              </w:rPr>
              <w:br w:type="textWrapping"/>
            </w:r>
            <w:r>
              <w:rPr>
                <w:rFonts w:hint="eastAsia" w:ascii="宋体" w:hAnsi="宋体" w:eastAsia="宋体" w:cs="宋体"/>
                <w:color w:val="000000" w:themeColor="text1"/>
                <w:kern w:val="0"/>
                <w:szCs w:val="21"/>
                <w:highlight w:val="none"/>
              </w:rPr>
              <w:t>符合 ISO-14443标准的 A &amp; B 类，支持银联PBOC3.0通讯协议，支持 Mifare S50 S70 卡片</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69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45</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指纹仪</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设备可支持集成重庆银行</w:t>
            </w:r>
            <w:r>
              <w:rPr>
                <w:rFonts w:ascii="宋体" w:hAnsi="宋体" w:eastAsia="宋体" w:cs="宋体"/>
                <w:color w:val="000000" w:themeColor="text1"/>
                <w:kern w:val="0"/>
                <w:szCs w:val="21"/>
                <w:highlight w:val="none"/>
              </w:rPr>
              <w:t>入围</w:t>
            </w:r>
            <w:r>
              <w:rPr>
                <w:rFonts w:hint="eastAsia" w:ascii="宋体" w:hAnsi="宋体" w:eastAsia="宋体" w:cs="宋体"/>
                <w:color w:val="000000" w:themeColor="text1"/>
                <w:kern w:val="0"/>
                <w:szCs w:val="21"/>
                <w:highlight w:val="none"/>
              </w:rPr>
              <w:t>指纹模块（维尔），能够被重庆银行维尔指纹仪（</w:t>
            </w:r>
            <w:r>
              <w:rPr>
                <w:rFonts w:ascii="宋体" w:hAnsi="宋体" w:eastAsia="宋体" w:cs="宋体"/>
                <w:color w:val="000000" w:themeColor="text1"/>
                <w:kern w:val="0"/>
                <w:szCs w:val="21"/>
                <w:highlight w:val="none"/>
              </w:rPr>
              <w:t>JZT-998A</w:t>
            </w:r>
            <w:r>
              <w:rPr>
                <w:rFonts w:hint="eastAsia" w:ascii="宋体" w:hAnsi="宋体" w:eastAsia="宋体" w:cs="宋体"/>
                <w:color w:val="000000" w:themeColor="text1"/>
                <w:kern w:val="0"/>
                <w:szCs w:val="21"/>
                <w:highlight w:val="none"/>
              </w:rPr>
              <w:t>）驱动程序调用。</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46</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指纹模板采集：读取三次，每次有指示灯提示</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47</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支持指纹特征采集，读取时有指示灯提示</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48</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使用图形或文字表示读取指纹区域</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49</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指纹设备便于拆装</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50</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指纹仪要符合公安部认证的居民身份证指纹采集器通用技术要求、居民身份证指纹采集和对比技术规范。</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37"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51</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二代证识别</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射频技术 支持ISO/IEC 14443 Type A、Type B标准</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66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52</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符合公安部《GA450-2003 台式居民身份证阅读器通用技术要求》，符合《1GA450-2003《台式居民身份证阅读器通用技术要求》第1号修改单（草案）》、《GA467-20045居民身份证验证安全控制模块接口技术规范》、《GA490-2004居民身份证机读信息规范》标准；</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采用符合公安部授权生产的合格产品模块，备公安部对于第二代居民身份证阅读机具用相片解码软件最新版本的合法授权</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6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54</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设备能够被重庆银行驱动程序调用</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3"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55</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能正确读出二代证照片信息和文本信息</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56</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读取距离：0-2CM内能成功读取</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57</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读二代证时间≤6秒</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58</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放证时有蜂鸣器提示，读证时有指示灯提示</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59</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使用图形和文字独立表示二代证读卡区域</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60</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测试成功读取二代证信息后，移开二代证后，不放证再次进行二代证读取操作，不能读出二代证信息</w:t>
            </w: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61</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restart"/>
            <w:tcBorders>
              <w:top w:val="nil"/>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电子签名屏</w:t>
            </w:r>
          </w:p>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触控方式：电磁感应式(无源)</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62</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分辨率：4000LPI</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63</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笔压等级：2048（含）以上</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64</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笔读写速度：220PPS</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65</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精确度：±0.5mm（中间区域）；±1mm（距边缘5mm范围）</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66</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笔倾斜角度：±45° （垂直屏幕/板表面）</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67</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感应高度：10mm （距离玻璃/板表面）</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68</w:t>
            </w:r>
          </w:p>
        </w:tc>
        <w:tc>
          <w:tcPr>
            <w:tcW w:w="64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具有加密电磁屏原厂商对该项目的授权文件；</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83"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69</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电磁压感感应笔(无源)</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93"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70</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笔尖可更换</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02"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71</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设备具有收纳式设计便于存放保管签名笔</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0"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72</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restart"/>
            <w:tcBorders>
              <w:top w:val="nil"/>
              <w:left w:val="nil"/>
              <w:right w:val="single" w:color="auto" w:sz="4" w:space="0"/>
            </w:tcBorders>
            <w:shd w:val="clear" w:color="auto" w:fill="auto"/>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电子签名</w:t>
            </w:r>
          </w:p>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加密模块</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具有电子签名功能，可对电子签名轨迹数据进行加密</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34"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73</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符合《中华人民共和国电子签名法》的相关要求，符合</w:t>
            </w:r>
            <w:r>
              <w:rPr>
                <w:rFonts w:ascii="宋体" w:hAnsi="宋体" w:eastAsia="宋体" w:cs="宋体"/>
                <w:color w:val="000000" w:themeColor="text1"/>
                <w:kern w:val="0"/>
                <w:szCs w:val="21"/>
                <w:highlight w:val="none"/>
              </w:rPr>
              <w:t>Q/CUP043-2013</w:t>
            </w:r>
            <w:r>
              <w:rPr>
                <w:rFonts w:hint="eastAsia" w:ascii="宋体" w:hAnsi="宋体" w:eastAsia="宋体" w:cs="宋体"/>
                <w:color w:val="000000" w:themeColor="text1"/>
                <w:kern w:val="0"/>
                <w:szCs w:val="21"/>
                <w:highlight w:val="none"/>
              </w:rPr>
              <w:t>中国银联电子签名板规范；可记录客户在设备上签名时的完整轨迹，无断点。</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2"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74</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支持拆机密钥自毁</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2"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75</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vMerge w:val="continue"/>
            <w:tcBorders>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支持签名时轨迹可同步在屏幕上展示，延迟小于</w:t>
            </w:r>
            <w:r>
              <w:rPr>
                <w:rFonts w:ascii="宋体" w:hAnsi="宋体" w:eastAsia="宋体" w:cs="宋体"/>
                <w:color w:val="000000" w:themeColor="text1"/>
                <w:kern w:val="0"/>
                <w:szCs w:val="21"/>
                <w:highlight w:val="none"/>
              </w:rPr>
              <w:t>0.5s</w:t>
            </w:r>
            <w:r>
              <w:rPr>
                <w:rFonts w:hint="eastAsia" w:ascii="宋体" w:hAnsi="宋体" w:eastAsia="宋体" w:cs="宋体"/>
                <w:color w:val="000000" w:themeColor="text1"/>
                <w:kern w:val="0"/>
                <w:szCs w:val="21"/>
                <w:highlight w:val="none"/>
              </w:rPr>
              <w:t>；能以矢量图片方式保存图片。</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9" w:hRule="atLeast"/>
          <w:jc w:val="center"/>
        </w:trPr>
        <w:tc>
          <w:tcPr>
            <w:tcW w:w="490"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76</w:t>
            </w:r>
          </w:p>
        </w:tc>
        <w:tc>
          <w:tcPr>
            <w:tcW w:w="64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PSAM卡</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内置2个</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544" w:hRule="atLeast"/>
          <w:jc w:val="center"/>
        </w:trPr>
        <w:tc>
          <w:tcPr>
            <w:tcW w:w="490" w:type="dxa"/>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77</w:t>
            </w:r>
          </w:p>
        </w:tc>
        <w:tc>
          <w:tcPr>
            <w:tcW w:w="64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其他参数</w:t>
            </w: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电源</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DC24V/3A电源供电，电源口可插拔</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1"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78</w:t>
            </w:r>
          </w:p>
        </w:tc>
        <w:tc>
          <w:tcPr>
            <w:tcW w:w="6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通讯接口</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设备统一为一个输入输出通讯接口</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17"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79</w:t>
            </w:r>
          </w:p>
        </w:tc>
        <w:tc>
          <w:tcPr>
            <w:tcW w:w="6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扩展接口</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至少1个USB对外扩展接口</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45" w:hRule="atLeast"/>
          <w:jc w:val="center"/>
        </w:trPr>
        <w:tc>
          <w:tcPr>
            <w:tcW w:w="490" w:type="dxa"/>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80</w:t>
            </w:r>
          </w:p>
        </w:tc>
        <w:tc>
          <w:tcPr>
            <w:tcW w:w="64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重量</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不大于1.2Kg</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84"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81</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设备开启时间</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低于20秒</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21" w:hRule="atLeast"/>
          <w:jc w:val="center"/>
        </w:trPr>
        <w:tc>
          <w:tcPr>
            <w:tcW w:w="490" w:type="dxa"/>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82</w:t>
            </w:r>
          </w:p>
        </w:tc>
        <w:tc>
          <w:tcPr>
            <w:tcW w:w="648"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操作响应时间</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低于2秒</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78" w:hRule="atLeast"/>
          <w:jc w:val="center"/>
        </w:trPr>
        <w:tc>
          <w:tcPr>
            <w:tcW w:w="490" w:type="dxa"/>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83</w:t>
            </w:r>
          </w:p>
        </w:tc>
        <w:tc>
          <w:tcPr>
            <w:tcW w:w="64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工作温度</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-10℃～50℃</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84</w:t>
            </w:r>
          </w:p>
        </w:tc>
        <w:tc>
          <w:tcPr>
            <w:tcW w:w="6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环境参数</w:t>
            </w: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工作湿度</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&lt; 90%RH</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04" w:hRule="atLeast"/>
          <w:jc w:val="center"/>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85</w:t>
            </w: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电磁兼容性</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符合GB9254-1988中A级的规定</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85" w:hRule="atLeast"/>
          <w:jc w:val="center"/>
        </w:trPr>
        <w:tc>
          <w:tcPr>
            <w:tcW w:w="490" w:type="dxa"/>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86</w:t>
            </w:r>
          </w:p>
        </w:tc>
        <w:tc>
          <w:tcPr>
            <w:tcW w:w="64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稳定性要求</w:t>
            </w:r>
          </w:p>
        </w:tc>
        <w:tc>
          <w:tcPr>
            <w:tcW w:w="110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平均无故障时间</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大于10000小时</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21" w:hRule="atLeast"/>
          <w:jc w:val="center"/>
        </w:trPr>
        <w:tc>
          <w:tcPr>
            <w:tcW w:w="49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87</w:t>
            </w:r>
          </w:p>
        </w:tc>
        <w:tc>
          <w:tcPr>
            <w:tcW w:w="64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静电保护</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具有防静电保护设计</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49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88</w:t>
            </w:r>
          </w:p>
        </w:tc>
        <w:tc>
          <w:tcPr>
            <w:tcW w:w="648"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售后服务</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产品整体提供原厂3年质保</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89</w:t>
            </w:r>
          </w:p>
        </w:tc>
        <w:tc>
          <w:tcPr>
            <w:tcW w:w="6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质量保证</w:t>
            </w: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产品化</w:t>
            </w:r>
          </w:p>
        </w:tc>
        <w:tc>
          <w:tcPr>
            <w:tcW w:w="4217"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提供完整、明确产品包装</w:t>
            </w: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330" w:hRule="atLeast"/>
          <w:jc w:val="center"/>
        </w:trPr>
        <w:tc>
          <w:tcPr>
            <w:tcW w:w="49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90</w:t>
            </w:r>
          </w:p>
        </w:tc>
        <w:tc>
          <w:tcPr>
            <w:tcW w:w="6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功能独立性</w:t>
            </w:r>
          </w:p>
        </w:tc>
        <w:tc>
          <w:tcPr>
            <w:tcW w:w="4217"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各个模块功能的调用互不影响，任一个模块出现故障，不影响其它模块正常使用</w:t>
            </w: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2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49" w:hRule="atLeast"/>
          <w:jc w:val="center"/>
        </w:trPr>
        <w:tc>
          <w:tcPr>
            <w:tcW w:w="490" w:type="dxa"/>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91</w:t>
            </w:r>
          </w:p>
        </w:tc>
        <w:tc>
          <w:tcPr>
            <w:tcW w:w="64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功能独立性</w:t>
            </w:r>
          </w:p>
        </w:tc>
        <w:tc>
          <w:tcPr>
            <w:tcW w:w="11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模块单独替换</w:t>
            </w:r>
          </w:p>
        </w:tc>
        <w:tc>
          <w:tcPr>
            <w:tcW w:w="4217"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支持对单个故障模块进行更换</w:t>
            </w: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000000" w:fill="FFFFFF"/>
            <w:vAlign w:val="center"/>
          </w:tcPr>
          <w:p>
            <w:pPr>
              <w:widowControl/>
              <w:spacing w:line="340" w:lineRule="exact"/>
              <w:rPr>
                <w:rFonts w:ascii="宋体" w:hAnsi="宋体" w:eastAsia="宋体" w:cs="宋体"/>
                <w:color w:val="000000" w:themeColor="text1"/>
                <w:kern w:val="0"/>
                <w:szCs w:val="21"/>
                <w:highlight w:val="none"/>
              </w:rPr>
            </w:pPr>
          </w:p>
        </w:tc>
      </w:tr>
      <w:tr>
        <w:tblPrEx>
          <w:tblLayout w:type="fixed"/>
          <w:tblCellMar>
            <w:top w:w="0" w:type="dxa"/>
            <w:left w:w="108" w:type="dxa"/>
            <w:bottom w:w="0" w:type="dxa"/>
            <w:right w:w="108" w:type="dxa"/>
          </w:tblCellMar>
        </w:tblPrEx>
        <w:trPr>
          <w:trHeight w:val="428" w:hRule="atLeast"/>
          <w:jc w:val="center"/>
        </w:trPr>
        <w:tc>
          <w:tcPr>
            <w:tcW w:w="490" w:type="dxa"/>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92</w:t>
            </w:r>
          </w:p>
        </w:tc>
        <w:tc>
          <w:tcPr>
            <w:tcW w:w="64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highlight w:val="none"/>
              </w:rPr>
            </w:pPr>
          </w:p>
        </w:tc>
        <w:tc>
          <w:tcPr>
            <w:tcW w:w="110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模块集成后的性能</w:t>
            </w:r>
          </w:p>
        </w:tc>
        <w:tc>
          <w:tcPr>
            <w:tcW w:w="421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集成后的模块的性能不低于集成前单独设备的性能</w:t>
            </w: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96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c>
          <w:tcPr>
            <w:tcW w:w="113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themeColor="text1"/>
                <w:kern w:val="0"/>
                <w:szCs w:val="21"/>
                <w:highlight w:val="none"/>
              </w:rPr>
            </w:pPr>
          </w:p>
        </w:tc>
      </w:tr>
    </w:tbl>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highlight w:val="none"/>
        </w:rPr>
      </w:pPr>
    </w:p>
    <w:p>
      <w:pPr>
        <w:tabs>
          <w:tab w:val="left" w:pos="6300"/>
        </w:tabs>
        <w:snapToGrid w:val="0"/>
        <w:spacing w:line="320" w:lineRule="exact"/>
        <w:rPr>
          <w:rFonts w:ascii="宋体" w:hAnsi="宋体" w:eastAsia="宋体" w:cs="Times New Roman"/>
          <w:b/>
          <w:color w:val="000000" w:themeColor="text1"/>
          <w:szCs w:val="21"/>
          <w:highlight w:val="none"/>
        </w:rPr>
      </w:pPr>
      <w:r>
        <w:rPr>
          <w:rFonts w:ascii="Times New Roman" w:hAnsi="Times New Roman" w:eastAsia="宋体" w:cs="Times New Roman"/>
          <w:color w:val="000000" w:themeColor="text1"/>
          <w:szCs w:val="21"/>
          <w:highlight w:val="none"/>
        </w:rPr>
        <w:t>注：请各投标人仔细阅读招标文件相关条款，投标人对招标文件要求进行响应后，招标人在后期合同签订和项目实施过程中将按照招标文件要求执行，不再做出调整。</w:t>
      </w:r>
    </w:p>
    <w:p>
      <w:pPr>
        <w:tabs>
          <w:tab w:val="left" w:pos="6300"/>
        </w:tabs>
        <w:snapToGrid w:val="0"/>
        <w:spacing w:line="320" w:lineRule="exact"/>
        <w:rPr>
          <w:rFonts w:ascii="宋体" w:hAnsi="宋体" w:eastAsia="宋体" w:cs="Times New Roman"/>
          <w:b/>
          <w:color w:val="000000" w:themeColor="text1"/>
          <w:szCs w:val="21"/>
          <w:highlight w:val="none"/>
        </w:rPr>
      </w:pPr>
    </w:p>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highlight w:val="none"/>
        </w:rPr>
      </w:pPr>
    </w:p>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highlight w:val="none"/>
        </w:rPr>
      </w:pPr>
    </w:p>
    <w:p>
      <w:pPr>
        <w:tabs>
          <w:tab w:val="left" w:pos="6300"/>
        </w:tabs>
        <w:snapToGrid w:val="0"/>
        <w:spacing w:line="400" w:lineRule="exact"/>
        <w:ind w:right="420" w:firstLine="142"/>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投标人（公章）：</w:t>
      </w:r>
    </w:p>
    <w:p>
      <w:pPr>
        <w:spacing w:line="400" w:lineRule="exact"/>
        <w:ind w:right="105" w:firstLine="120" w:firstLineChars="50"/>
        <w:jc w:val="left"/>
        <w:rPr>
          <w:rFonts w:ascii="Times New Roman" w:hAnsi="Times New Roman" w:eastAsia="宋体" w:cs="Times New Roman"/>
          <w:b/>
          <w:color w:val="000000" w:themeColor="text1"/>
          <w:sz w:val="24"/>
          <w:szCs w:val="24"/>
          <w:highlight w:val="none"/>
        </w:rPr>
      </w:pPr>
      <w:r>
        <w:rPr>
          <w:rFonts w:ascii="Times New Roman" w:hAnsi="Times New Roman" w:eastAsia="宋体" w:cs="Times New Roman"/>
          <w:b/>
          <w:color w:val="000000" w:themeColor="text1"/>
          <w:sz w:val="24"/>
          <w:szCs w:val="24"/>
          <w:highlight w:val="none"/>
        </w:rPr>
        <w:t>法定代表人或其委托代理人：（盖章或签字）</w:t>
      </w:r>
    </w:p>
    <w:p>
      <w:pPr>
        <w:widowControl/>
        <w:ind w:firstLine="3120" w:firstLineChars="1300"/>
        <w:jc w:val="left"/>
        <w:rPr>
          <w:color w:val="000000" w:themeColor="text1"/>
          <w:highlight w:val="none"/>
        </w:rPr>
      </w:pPr>
      <w:r>
        <w:rPr>
          <w:rFonts w:ascii="Times New Roman" w:hAnsi="Times New Roman" w:eastAsia="宋体" w:cs="Times New Roman"/>
          <w:color w:val="000000" w:themeColor="text1"/>
          <w:sz w:val="24"/>
          <w:szCs w:val="24"/>
          <w:highlight w:val="none"/>
        </w:rPr>
        <w:t>年月日</w:t>
      </w:r>
    </w:p>
    <w:p>
      <w:pPr>
        <w:spacing w:line="240" w:lineRule="exact"/>
        <w:rPr>
          <w:color w:val="000000" w:themeColor="text1"/>
          <w:highlight w:val="none"/>
        </w:rPr>
      </w:pPr>
      <w:r>
        <w:rPr>
          <w:color w:val="000000" w:themeColor="text1"/>
          <w:highlight w:val="none"/>
        </w:rPr>
        <w:br w:type="page"/>
      </w:r>
    </w:p>
    <w:p>
      <w:pPr>
        <w:spacing w:line="300" w:lineRule="exact"/>
        <w:rPr>
          <w:rFonts w:ascii="Times New Roman" w:hAnsi="Times New Roman" w:eastAsia="宋体" w:cs="Times New Roman"/>
          <w:b/>
          <w:bCs/>
          <w:color w:val="000000" w:themeColor="text1"/>
          <w:kern w:val="0"/>
          <w:sz w:val="24"/>
          <w:szCs w:val="24"/>
          <w:highlight w:val="none"/>
        </w:rPr>
      </w:pPr>
      <w:r>
        <w:rPr>
          <w:rFonts w:ascii="Times New Roman" w:hAnsi="Times New Roman" w:eastAsia="宋体" w:cs="Times New Roman"/>
          <w:b/>
          <w:bCs/>
          <w:color w:val="000000" w:themeColor="text1"/>
          <w:kern w:val="0"/>
          <w:sz w:val="24"/>
          <w:szCs w:val="24"/>
          <w:highlight w:val="none"/>
        </w:rPr>
        <w:t>附件4</w:t>
      </w:r>
    </w:p>
    <w:p>
      <w:pPr>
        <w:jc w:val="center"/>
        <w:rPr>
          <w:rFonts w:ascii="黑体" w:hAnsi="黑体" w:eastAsia="黑体"/>
          <w:color w:val="000000" w:themeColor="text1"/>
          <w:highlight w:val="none"/>
        </w:rPr>
      </w:pPr>
      <w:r>
        <w:rPr>
          <w:rFonts w:hint="eastAsia" w:ascii="黑体" w:hAnsi="黑体" w:eastAsia="黑体"/>
          <w:color w:val="000000" w:themeColor="text1"/>
          <w:highlight w:val="none"/>
        </w:rPr>
        <w:t>重庆银行移动展业平台业务及技术需求</w:t>
      </w:r>
    </w:p>
    <w:p>
      <w:pPr>
        <w:pStyle w:val="287"/>
        <w:numPr>
          <w:ilvl w:val="0"/>
          <w:numId w:val="21"/>
        </w:numPr>
        <w:ind w:firstLineChars="0"/>
        <w:rPr>
          <w:rFonts w:ascii="黑体" w:hAnsi="黑体" w:eastAsia="黑体"/>
          <w:color w:val="000000" w:themeColor="text1"/>
          <w:highlight w:val="none"/>
        </w:rPr>
      </w:pPr>
      <w:r>
        <w:rPr>
          <w:rFonts w:hint="eastAsia" w:ascii="黑体" w:hAnsi="黑体" w:eastAsia="黑体"/>
          <w:color w:val="000000" w:themeColor="text1"/>
          <w:highlight w:val="none"/>
        </w:rPr>
        <w:t>业务功能需求</w:t>
      </w:r>
    </w:p>
    <w:p>
      <w:pPr>
        <w:pStyle w:val="287"/>
        <w:numPr>
          <w:ilvl w:val="0"/>
          <w:numId w:val="22"/>
        </w:numPr>
        <w:ind w:firstLineChars="0"/>
        <w:rPr>
          <w:rFonts w:ascii="黑体" w:hAnsi="黑体" w:eastAsia="黑体"/>
          <w:color w:val="000000" w:themeColor="text1"/>
          <w:sz w:val="28"/>
          <w:szCs w:val="28"/>
          <w:highlight w:val="none"/>
        </w:rPr>
      </w:pPr>
      <w:r>
        <w:rPr>
          <w:rFonts w:hint="eastAsia" w:ascii="黑体" w:hAnsi="黑体" w:eastAsia="黑体"/>
          <w:color w:val="000000" w:themeColor="text1"/>
          <w:sz w:val="28"/>
          <w:szCs w:val="28"/>
          <w:highlight w:val="none"/>
        </w:rPr>
        <w:t>需求总览</w:t>
      </w:r>
    </w:p>
    <w:p>
      <w:pPr>
        <w:ind w:left="720" w:right="561"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移动展业平台建设主要分前端和后台管理端，前端主要实现iPad、iOS和Android客户端，同时iPad将适配移动背夹硬件设备，实现柜面业务，供我行客户经理或具备柜员权限的人使用。后台管理以网页形式供总行管理部室人员登录使用。</w:t>
      </w:r>
    </w:p>
    <w:p>
      <w:pPr>
        <w:ind w:left="720" w:right="561" w:firstLine="480" w:firstLineChars="200"/>
        <w:rPr>
          <w:rFonts w:ascii="仿宋" w:hAnsi="仿宋" w:eastAsia="仿宋"/>
          <w:color w:val="000000" w:themeColor="text1"/>
          <w:sz w:val="24"/>
          <w:szCs w:val="24"/>
          <w:highlight w:val="none"/>
        </w:rPr>
      </w:pPr>
      <w:r>
        <w:rPr>
          <w:rFonts w:hint="eastAsia" w:ascii="仿宋" w:hAnsi="仿宋" w:eastAsia="仿宋"/>
          <w:color w:val="000000" w:themeColor="text1"/>
          <w:sz w:val="24"/>
          <w:szCs w:val="24"/>
          <w:highlight w:val="none"/>
        </w:rPr>
        <w:t>使用统一的工号登录展业平台，实现与信贷、网贷、柜面前端、对公CRM及绩效考核等行内系统的单点登录对接。</w:t>
      </w:r>
    </w:p>
    <w:p>
      <w:pPr>
        <w:pStyle w:val="287"/>
        <w:numPr>
          <w:ilvl w:val="0"/>
          <w:numId w:val="22"/>
        </w:numPr>
        <w:ind w:firstLineChars="0"/>
        <w:rPr>
          <w:rFonts w:ascii="黑体" w:hAnsi="黑体" w:eastAsia="黑体"/>
          <w:color w:val="000000" w:themeColor="text1"/>
          <w:sz w:val="28"/>
          <w:szCs w:val="28"/>
          <w:highlight w:val="none"/>
        </w:rPr>
      </w:pPr>
      <w:r>
        <w:rPr>
          <w:rFonts w:hint="eastAsia" w:ascii="黑体" w:hAnsi="黑体" w:eastAsia="黑体"/>
          <w:color w:val="000000" w:themeColor="text1"/>
          <w:sz w:val="28"/>
          <w:szCs w:val="28"/>
          <w:highlight w:val="none"/>
        </w:rPr>
        <w:t>功能需求列表</w:t>
      </w:r>
    </w:p>
    <w:tbl>
      <w:tblPr>
        <w:tblStyle w:val="55"/>
        <w:tblW w:w="10680" w:type="dxa"/>
        <w:tblInd w:w="-1024" w:type="dxa"/>
        <w:tblLayout w:type="fixed"/>
        <w:tblCellMar>
          <w:top w:w="0" w:type="dxa"/>
          <w:left w:w="108" w:type="dxa"/>
          <w:bottom w:w="0" w:type="dxa"/>
          <w:right w:w="108" w:type="dxa"/>
        </w:tblCellMar>
      </w:tblPr>
      <w:tblGrid>
        <w:gridCol w:w="1080"/>
        <w:gridCol w:w="1480"/>
        <w:gridCol w:w="2700"/>
        <w:gridCol w:w="5420"/>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000000" w:fill="BFBFBF"/>
            <w:vAlign w:val="bottom"/>
          </w:tcPr>
          <w:p>
            <w:pPr>
              <w:widowControl/>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角色视图</w:t>
            </w:r>
          </w:p>
        </w:tc>
        <w:tc>
          <w:tcPr>
            <w:tcW w:w="1480" w:type="dxa"/>
            <w:tcBorders>
              <w:top w:val="single" w:color="auto" w:sz="4" w:space="0"/>
              <w:left w:val="nil"/>
              <w:bottom w:val="single" w:color="auto" w:sz="4" w:space="0"/>
              <w:right w:val="single" w:color="auto" w:sz="4" w:space="0"/>
            </w:tcBorders>
            <w:shd w:val="clear" w:color="000000" w:fill="BFBFBF"/>
            <w:vAlign w:val="bottom"/>
          </w:tcPr>
          <w:p>
            <w:pPr>
              <w:widowControl/>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场景/大类</w:t>
            </w:r>
          </w:p>
        </w:tc>
        <w:tc>
          <w:tcPr>
            <w:tcW w:w="2700" w:type="dxa"/>
            <w:tcBorders>
              <w:top w:val="single" w:color="auto" w:sz="4" w:space="0"/>
              <w:left w:val="nil"/>
              <w:bottom w:val="single" w:color="auto" w:sz="4" w:space="0"/>
              <w:right w:val="single" w:color="auto" w:sz="4" w:space="0"/>
            </w:tcBorders>
            <w:shd w:val="clear" w:color="000000" w:fill="BFBFBF"/>
            <w:vAlign w:val="bottom"/>
          </w:tcPr>
          <w:p>
            <w:pPr>
              <w:widowControl/>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功能</w:t>
            </w:r>
          </w:p>
        </w:tc>
        <w:tc>
          <w:tcPr>
            <w:tcW w:w="5420" w:type="dxa"/>
            <w:tcBorders>
              <w:top w:val="single" w:color="auto" w:sz="4" w:space="0"/>
              <w:left w:val="nil"/>
              <w:bottom w:val="single" w:color="auto" w:sz="4" w:space="0"/>
              <w:right w:val="single" w:color="auto" w:sz="4" w:space="0"/>
            </w:tcBorders>
            <w:shd w:val="clear" w:color="000000" w:fill="BFBFBF"/>
            <w:vAlign w:val="bottom"/>
          </w:tcPr>
          <w:p>
            <w:pPr>
              <w:widowControl/>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功能简介</w:t>
            </w:r>
          </w:p>
        </w:tc>
      </w:tr>
      <w:tr>
        <w:tblPrEx>
          <w:tblLayout w:type="fixed"/>
          <w:tblCellMar>
            <w:top w:w="0" w:type="dxa"/>
            <w:left w:w="108" w:type="dxa"/>
            <w:bottom w:w="0" w:type="dxa"/>
            <w:right w:w="108" w:type="dxa"/>
          </w:tblCellMar>
        </w:tblPrEx>
        <w:trPr>
          <w:trHeight w:val="54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前端功能</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登录</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单点登录</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使用统一的工号登录展业平台，实现与信贷、网贷、柜面前端、对公CRM及绩效考核等行内系统的单点登录对接</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产品展示</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热门产品展示</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展示我行各种热门产品，包含资产和负债类产品（通过H5链接跳转产品集储存的平台），产品由后管配置</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产品流程清单</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给客户经理展示相应的产品流程准备清单，可供客户经理勾选已完成</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信贷产品申请入口</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客户预申请入口(一期考虑好企贷系列产品及预留多条线的产品入口)</w:t>
            </w:r>
          </w:p>
        </w:tc>
      </w:tr>
      <w:tr>
        <w:tblPrEx>
          <w:tblLayout w:type="fixed"/>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好企贷</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产品预申请</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实现好企贷系列产品预申请，包括申请要素填写、身份核验、征信授权和第三方平台授权、影像资料上传、申请结果等流程</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影像资料补录</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网贷生成影像补录的待办任务，供客户经理现场上传</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合同面签</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待签署的合同，完成身份核验后使用硬件签署合同</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贷后管理</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包括还款及逾期通知提醒、现在检查影像上传及轨迹定位、逾期催收文档制作等。</w:t>
            </w:r>
          </w:p>
        </w:tc>
      </w:tr>
      <w:tr>
        <w:tblPrEx>
          <w:tblLayout w:type="fixed"/>
          <w:tblCellMar>
            <w:top w:w="0" w:type="dxa"/>
            <w:left w:w="108" w:type="dxa"/>
            <w:bottom w:w="0" w:type="dxa"/>
            <w:right w:w="108" w:type="dxa"/>
          </w:tblCellMar>
        </w:tblPrEx>
        <w:trPr>
          <w:trHeight w:val="10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贷前</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客户营销档案及查询平台</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按客户建立营销档案，记录客户基本信息（行业、定位、融资需求等），可实现按关键字搜索同类客户档案；若是存量客户，可查询存量客户的基本信息，是否是黑名单或其他限制。</w:t>
            </w:r>
          </w:p>
        </w:tc>
      </w:tr>
      <w:tr>
        <w:tblPrEx>
          <w:tblLayout w:type="fixed"/>
          <w:tblCellMar>
            <w:top w:w="0" w:type="dxa"/>
            <w:left w:w="108" w:type="dxa"/>
            <w:bottom w:w="0" w:type="dxa"/>
            <w:right w:w="108" w:type="dxa"/>
          </w:tblCellMar>
        </w:tblPrEx>
        <w:trPr>
          <w:trHeight w:val="13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客户信息及工商数据查询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通过申请人姓名或企业名称查询客户基本工商注册信息、股东信息、关联信息、诉讼信息、环保信息等，实现客户负债产品、资产产品查询，实现客户集团家谱、调查营销、异常信息等查询。若是零售客户，可查询客户在我行的资产状况及客户等级。</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关联图谱查询(大中客户)</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通过申请人姓名或企业名称查询客户的关联图谱(大中客户)</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预申请</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实现建立信贷流程预申请</w:t>
            </w:r>
          </w:p>
        </w:tc>
      </w:tr>
      <w:tr>
        <w:tblPrEx>
          <w:tblLayout w:type="fixed"/>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信贷影像资料上传</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业务影像目录结构：抵押物类、经营场所类、经营证照类、其他类，前三类提示影像采集具体要求（如抵押物全景、内部情况等）</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个人征信授权查询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人脸识别、联网核查、四要素认证及签署授权书来查询个人征信</w:t>
            </w:r>
          </w:p>
        </w:tc>
      </w:tr>
      <w:tr>
        <w:tblPrEx>
          <w:tblLayout w:type="fixed"/>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房产评估</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房地产线上估值（可支持多个房地产打包查询），不直接返回评估价值，返回建议贷款金额（区分押品类型，配置抵押率）。</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辅助贷前调查报告</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客户经理录入的财报数据返显财务比率分析结果，临界值提醒</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生成贷前调查报告</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自动或手动填写贷前调查报告并自动生成贷前调查报告</w:t>
            </w:r>
          </w:p>
        </w:tc>
      </w:tr>
      <w:tr>
        <w:tblPrEx>
          <w:tblLayout w:type="fixed"/>
          <w:tblCellMar>
            <w:top w:w="0" w:type="dxa"/>
            <w:left w:w="108" w:type="dxa"/>
            <w:bottom w:w="0" w:type="dxa"/>
            <w:right w:w="108" w:type="dxa"/>
          </w:tblCellMar>
        </w:tblPrEx>
        <w:trPr>
          <w:trHeight w:val="10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贷中</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合同面签</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需要面签自然人及企业的列表，对自然需进行身份验证（人脸识别活体检测、连网核查）及面签影像资料，对企业需有面签影像。展业平台将身份识别的结果返回信贷，同时将影像资料上传至影像平台</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额度生效及提用</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信贷在额度生效及提用环节增加风险探测，身份识别通过且有面签影像的才能提交。</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审批结果查询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查看贷款审批结果或风险提示</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贷后</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现场检查影像收集</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首检、日常贷后影像资料等收集及定位</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客户相关数据查询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待还款客户名单及金额、还款客户账户余额、客户逾期、展示*天内到期客户名单等信息展示及查询</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现场填写报告</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不定期监控，可以填写报告和进行影像采集；定期监控，只做影像采集</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贷后管理功能</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额度冻结</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风险预警</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全量预警信息展示</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信贷向展业平台推送全量预警信号，信贷和展业平台的处理结果需同步；</w:t>
            </w:r>
          </w:p>
        </w:tc>
      </w:tr>
      <w:tr>
        <w:tblPrEx>
          <w:tblLayout w:type="fixed"/>
          <w:tblCellMar>
            <w:top w:w="0" w:type="dxa"/>
            <w:left w:w="108" w:type="dxa"/>
            <w:bottom w:w="0" w:type="dxa"/>
            <w:right w:w="108" w:type="dxa"/>
          </w:tblCellMar>
        </w:tblPrEx>
        <w:trPr>
          <w:trHeight w:val="81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预警信号处理</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在展业平台上可进行预警信号处理，判断信号真伪，对真信号打钩确认，对伪信号打标识后，在信贷系统中提交异议流程。</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通知提醒</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消息提醒</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包括客户风险提示、客户逾期提示、待还款客户名单和金额提示</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待办提醒</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受理中业务、首检、日常贷后、预警信息待办，以及影像资料、信息补录等待办处理事情</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柜面业务</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开户开卡</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可以为客户新建客户信息和同时开通借记卡业务</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卡业务</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包括银行卡激活、重置密码业务</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卡产品签约</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办理银信通、聚财通、懒得缴、机具转账、小额免密、幸福存、梦想存签约及变更业务</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签约业务</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客户签约电子渠道及相关业务。</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对公开户</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实现对公业务开户功能</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统计管理</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效率统计查询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统计经客户经理处理的贷款申请/贷后管理的流程节点时效</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存量业务查询</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分产品查询在途申请\贷后管理\结清业务\审批拒绝的客户明细信息</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小工具</w:t>
            </w: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客户经理业绩管理</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提供给客户经理给大中客户计算综合收益的工具</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存/贷款利率查询及试算</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结合零售客户资产和贷款产品，提供相应的计算器功能</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22"/>
                <w:highlight w:val="none"/>
              </w:rPr>
            </w:pPr>
          </w:p>
        </w:tc>
        <w:tc>
          <w:tcPr>
            <w:tcW w:w="2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还款计划试算</w:t>
            </w:r>
          </w:p>
        </w:tc>
        <w:tc>
          <w:tcPr>
            <w:tcW w:w="5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22"/>
                <w:highlight w:val="none"/>
              </w:rPr>
            </w:pPr>
            <w:r>
              <w:rPr>
                <w:rFonts w:hint="eastAsia" w:ascii="宋体" w:hAnsi="宋体" w:eastAsia="宋体" w:cs="宋体"/>
                <w:color w:val="000000" w:themeColor="text1"/>
                <w:kern w:val="0"/>
                <w:sz w:val="22"/>
                <w:highlight w:val="none"/>
              </w:rPr>
              <w:t>提供还款计算器，方便客户经理给客户展示每月还款金额</w:t>
            </w:r>
          </w:p>
        </w:tc>
      </w:tr>
    </w:tbl>
    <w:p>
      <w:pPr>
        <w:rPr>
          <w:rFonts w:ascii="黑体" w:hAnsi="黑体" w:eastAsia="黑体"/>
          <w:color w:val="000000" w:themeColor="text1"/>
          <w:highlight w:val="none"/>
        </w:rPr>
      </w:pPr>
    </w:p>
    <w:p>
      <w:pPr>
        <w:pStyle w:val="288"/>
        <w:numPr>
          <w:ilvl w:val="0"/>
          <w:numId w:val="21"/>
        </w:numPr>
        <w:ind w:firstLineChars="0"/>
        <w:rPr>
          <w:rFonts w:ascii="黑体" w:hAnsi="黑体" w:eastAsia="黑体"/>
          <w:color w:val="000000" w:themeColor="text1"/>
          <w:highlight w:val="none"/>
        </w:rPr>
      </w:pPr>
      <w:r>
        <w:rPr>
          <w:rFonts w:hint="eastAsia" w:ascii="黑体" w:hAnsi="黑体" w:eastAsia="黑体"/>
          <w:color w:val="000000" w:themeColor="text1"/>
          <w:highlight w:val="none"/>
        </w:rPr>
        <w:t>技术需求</w:t>
      </w:r>
    </w:p>
    <w:p>
      <w:pPr>
        <w:spacing w:line="240" w:lineRule="exact"/>
        <w:rPr>
          <w:color w:val="000000" w:themeColor="text1"/>
          <w:highlight w:val="none"/>
        </w:rPr>
      </w:pPr>
    </w:p>
    <w:p>
      <w:pPr>
        <w:pStyle w:val="2"/>
        <w:spacing w:before="340" w:after="330" w:line="578" w:lineRule="auto"/>
        <w:ind w:firstLine="0" w:firstLineChars="0"/>
        <w:rPr>
          <w:rFonts w:ascii="黑体"/>
          <w:b w:val="0"/>
          <w:color w:val="000000" w:themeColor="text1"/>
          <w:highlight w:val="none"/>
        </w:rPr>
      </w:pPr>
      <w:bookmarkStart w:id="242" w:name="_1619938922"/>
      <w:bookmarkEnd w:id="242"/>
      <w:bookmarkStart w:id="243" w:name="_1619705217"/>
      <w:bookmarkEnd w:id="243"/>
      <w:bookmarkStart w:id="244" w:name="_Toc5137417"/>
      <w:r>
        <w:rPr>
          <w:rFonts w:hint="eastAsia" w:ascii="黑体"/>
          <w:b w:val="0"/>
          <w:color w:val="000000" w:themeColor="text1"/>
          <w:highlight w:val="none"/>
        </w:rPr>
        <w:t>项目建设目标</w:t>
      </w:r>
      <w:bookmarkEnd w:id="244"/>
    </w:p>
    <w:p>
      <w:pPr>
        <w:ind w:firstLine="420"/>
        <w:rPr>
          <w:rFonts w:ascii="仿宋_GB2312" w:hAnsi="仿宋" w:eastAsia="仿宋_GB2312"/>
          <w:color w:val="000000" w:themeColor="text1"/>
          <w:kern w:val="0"/>
          <w:sz w:val="24"/>
          <w:szCs w:val="24"/>
          <w:highlight w:val="none"/>
        </w:rPr>
      </w:pPr>
      <w:r>
        <w:rPr>
          <w:rFonts w:hint="eastAsia" w:ascii="仿宋_GB2312" w:hAnsi="仿宋" w:eastAsia="仿宋_GB2312"/>
          <w:color w:val="000000" w:themeColor="text1"/>
          <w:kern w:val="0"/>
          <w:sz w:val="24"/>
          <w:szCs w:val="24"/>
          <w:highlight w:val="none"/>
        </w:rPr>
        <w:t>移动展业平台建设目标将为不同业务条线销售人员及管理者提供一整套外出营销，缓解网点业务办理压力的解决方案，支持客户开卡、开户、现场签约、对接集中授权、外出办理非现金业务、贷款申请、现场核查、资料采集、贷后管理以及监控管理等功能。解决了银行业务人员户外推销产品受场景的限制，改变传统运营流程，降低运营成本，提高运营效率，同时加强同业竞争能力。通过打造移动展业平台，将业务系统的信息化内容与手持终端的移动化优势结合起来，可突破时间地域限制以更加主动、快捷、低成本的方式来提升银行业务办理效率。</w:t>
      </w:r>
    </w:p>
    <w:p>
      <w:pPr>
        <w:pStyle w:val="2"/>
        <w:spacing w:before="340" w:after="330" w:line="578" w:lineRule="auto"/>
        <w:ind w:left="425" w:hanging="425" w:firstLineChars="0"/>
        <w:rPr>
          <w:rFonts w:ascii="黑体"/>
          <w:b w:val="0"/>
          <w:color w:val="000000" w:themeColor="text1"/>
          <w:sz w:val="24"/>
          <w:szCs w:val="24"/>
          <w:highlight w:val="none"/>
        </w:rPr>
      </w:pPr>
      <w:bookmarkStart w:id="245" w:name="_Toc5137418"/>
      <w:r>
        <w:rPr>
          <w:rFonts w:hint="eastAsia" w:ascii="黑体"/>
          <w:b w:val="0"/>
          <w:color w:val="000000" w:themeColor="text1"/>
          <w:sz w:val="24"/>
          <w:szCs w:val="24"/>
          <w:highlight w:val="none"/>
        </w:rPr>
        <w:t>总体架构</w:t>
      </w:r>
      <w:bookmarkEnd w:id="245"/>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46" w:name="_Toc5137419"/>
      <w:r>
        <w:rPr>
          <w:rFonts w:hint="eastAsia" w:ascii="黑体"/>
          <w:b w:val="0"/>
          <w:color w:val="000000" w:themeColor="text1"/>
          <w:sz w:val="24"/>
          <w:szCs w:val="24"/>
          <w:highlight w:val="none"/>
        </w:rPr>
        <w:t>总体思路</w:t>
      </w:r>
      <w:bookmarkEnd w:id="246"/>
    </w:p>
    <w:p>
      <w:pPr>
        <w:suppressAutoHyphens/>
        <w:spacing w:line="360" w:lineRule="auto"/>
        <w:ind w:firstLine="432" w:firstLineChars="180"/>
        <w:rPr>
          <w:rFonts w:ascii="仿宋_GB2312" w:hAnsi="仿宋" w:eastAsia="仿宋_GB2312"/>
          <w:color w:val="000000" w:themeColor="text1"/>
          <w:kern w:val="0"/>
          <w:sz w:val="24"/>
          <w:szCs w:val="24"/>
          <w:highlight w:val="none"/>
        </w:rPr>
      </w:pPr>
      <w:r>
        <w:rPr>
          <w:rFonts w:hint="eastAsia" w:ascii="仿宋_GB2312" w:hAnsi="仿宋" w:eastAsia="仿宋_GB2312"/>
          <w:color w:val="000000" w:themeColor="text1"/>
          <w:kern w:val="0"/>
          <w:sz w:val="24"/>
          <w:szCs w:val="24"/>
          <w:highlight w:val="none"/>
        </w:rPr>
        <w:t>◆系统开发遵循组件化、模块化、参数化、高内聚、松耦合的设计原则，保证软件系统架构易于改造和扩展，提高软件的复用性、可维护性和开发效率，保证新业务功能的不断扩充不会影响应用系统的各种原有功能。</w:t>
      </w:r>
    </w:p>
    <w:p>
      <w:pPr>
        <w:suppressAutoHyphens/>
        <w:spacing w:line="360" w:lineRule="auto"/>
        <w:ind w:firstLine="432" w:firstLineChars="180"/>
        <w:rPr>
          <w:rFonts w:ascii="仿宋_GB2312" w:hAnsi="仿宋" w:eastAsia="仿宋_GB2312"/>
          <w:color w:val="000000" w:themeColor="text1"/>
          <w:kern w:val="0"/>
          <w:sz w:val="24"/>
          <w:szCs w:val="24"/>
          <w:highlight w:val="none"/>
        </w:rPr>
      </w:pPr>
      <w:r>
        <w:rPr>
          <w:rFonts w:hint="eastAsia" w:ascii="仿宋_GB2312" w:hAnsi="仿宋" w:eastAsia="仿宋_GB2312"/>
          <w:color w:val="000000" w:themeColor="text1"/>
          <w:kern w:val="0"/>
          <w:sz w:val="24"/>
          <w:szCs w:val="24"/>
          <w:highlight w:val="none"/>
        </w:rPr>
        <w:t>◆系统支持应用系统级和数据库级自动负载均衡、高可靠性集群技术方案，实现服务动态分配，实现系统横向和纵向的动态扩展；</w:t>
      </w:r>
    </w:p>
    <w:p>
      <w:pPr>
        <w:suppressAutoHyphens/>
        <w:spacing w:line="360" w:lineRule="auto"/>
        <w:ind w:firstLine="432" w:firstLineChars="180"/>
        <w:rPr>
          <w:rFonts w:ascii="仿宋_GB2312" w:hAnsi="仿宋" w:eastAsia="仿宋_GB2312"/>
          <w:color w:val="000000" w:themeColor="text1"/>
          <w:kern w:val="0"/>
          <w:sz w:val="24"/>
          <w:szCs w:val="24"/>
          <w:highlight w:val="none"/>
        </w:rPr>
      </w:pPr>
      <w:r>
        <w:rPr>
          <w:rFonts w:hint="eastAsia" w:ascii="仿宋_GB2312" w:hAnsi="仿宋" w:eastAsia="仿宋_GB2312"/>
          <w:color w:val="000000" w:themeColor="text1"/>
          <w:kern w:val="0"/>
          <w:sz w:val="24"/>
          <w:szCs w:val="24"/>
          <w:highlight w:val="none"/>
        </w:rPr>
        <w:t>◆系统支持数据中心级的双活模式部署。</w:t>
      </w:r>
    </w:p>
    <w:p>
      <w:pPr>
        <w:suppressAutoHyphens/>
        <w:spacing w:line="360" w:lineRule="auto"/>
        <w:ind w:firstLine="432" w:firstLineChars="180"/>
        <w:rPr>
          <w:rFonts w:ascii="仿宋_GB2312" w:hAnsi="仿宋" w:eastAsia="仿宋_GB2312"/>
          <w:color w:val="000000" w:themeColor="text1"/>
          <w:kern w:val="0"/>
          <w:sz w:val="24"/>
          <w:szCs w:val="24"/>
          <w:highlight w:val="none"/>
        </w:rPr>
      </w:pPr>
      <w:r>
        <w:rPr>
          <w:rFonts w:hint="eastAsia" w:ascii="仿宋_GB2312" w:hAnsi="仿宋" w:eastAsia="仿宋_GB2312"/>
          <w:color w:val="000000" w:themeColor="text1"/>
          <w:kern w:val="0"/>
          <w:sz w:val="24"/>
          <w:szCs w:val="24"/>
          <w:highlight w:val="none"/>
        </w:rPr>
        <w:t>◆系统应具备持续、高效、可靠的运行能力，具备异常或故障处理能力，具备系统服务的启停机制。系统提供异常处理、日志管理、系统监控等功能。</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47" w:name="_Toc5137420"/>
      <w:r>
        <w:rPr>
          <w:rFonts w:hint="eastAsia" w:ascii="黑体"/>
          <w:b w:val="0"/>
          <w:color w:val="000000" w:themeColor="text1"/>
          <w:sz w:val="24"/>
          <w:szCs w:val="24"/>
          <w:highlight w:val="none"/>
        </w:rPr>
        <w:t>总体应用架构</w:t>
      </w:r>
      <w:bookmarkEnd w:id="247"/>
    </w:p>
    <w:p>
      <w:pPr>
        <w:rPr>
          <w:color w:val="000000" w:themeColor="text1"/>
          <w:sz w:val="24"/>
          <w:szCs w:val="24"/>
          <w:highlight w:val="none"/>
        </w:rPr>
      </w:pPr>
      <w:r>
        <w:rPr>
          <w:color w:val="000000" w:themeColor="text1"/>
          <w:sz w:val="24"/>
          <w:szCs w:val="24"/>
          <w:highlight w:val="none"/>
        </w:rPr>
        <w:drawing>
          <wp:inline distT="0" distB="0" distL="0" distR="0">
            <wp:extent cx="5715000" cy="4962525"/>
            <wp:effectExtent l="19050" t="0" r="19050" b="28575"/>
            <wp:docPr id="1" name="图片 4" descr="应用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应用架构图"/>
                    <pic:cNvPicPr>
                      <a:picLocks noChangeAspect="1" noChangeArrowheads="1"/>
                    </pic:cNvPicPr>
                  </pic:nvPicPr>
                  <pic:blipFill>
                    <a:blip r:embed="rId28"/>
                    <a:srcRect/>
                    <a:stretch>
                      <a:fillRect/>
                    </a:stretch>
                  </pic:blipFill>
                  <pic:spPr>
                    <a:xfrm>
                      <a:off x="0" y="0"/>
                      <a:ext cx="5715000" cy="4962525"/>
                    </a:xfrm>
                    <a:prstGeom prst="rect">
                      <a:avLst/>
                    </a:prstGeom>
                    <a:noFill/>
                    <a:ln w="9525">
                      <a:noFill/>
                      <a:miter lim="800000"/>
                      <a:headEnd/>
                      <a:tailEnd/>
                    </a:ln>
                    <a:effectLst>
                      <a:outerShdw dist="35921" dir="2700000" algn="ctr" rotWithShape="0">
                        <a:srgbClr val="808080"/>
                      </a:outerShdw>
                    </a:effectLst>
                  </pic:spPr>
                </pic:pic>
              </a:graphicData>
            </a:graphic>
          </wp:inline>
        </w:drawing>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移动展业平台整个应用架构是在展示层和服务层基础上的。展示层包括：客户端（包括苹果</w:t>
      </w:r>
      <w:r>
        <w:rPr>
          <w:rFonts w:ascii="仿宋_GB2312" w:hAnsi="宋体" w:eastAsia="仿宋_GB2312"/>
          <w:bCs/>
          <w:color w:val="000000" w:themeColor="text1"/>
          <w:sz w:val="24"/>
          <w:szCs w:val="24"/>
          <w:highlight w:val="none"/>
        </w:rPr>
        <w:t>PAD版、手机IOS版、安卓版）采用高效混合开发模式，提供统一的客户端运行平台，包括：应用门户、页面组件、安全模块、消息类库、兼容性；服务层主要对接客户端的接入，数据库的有效连接以及通过ESB上发布的服务与行内系统之间的交互，包括信贷系统、网贷系统、柜面系统、核心系统、集中授权系统、无纸化平台、影像平台、短信平台、渠道整合平台等。移动展业平台支持我行各个条线的业务，服务层按模块分为预申请、贷前管理、贷后管理、征信授权、影像采集，并能在一定程度上支持网点业务包括开户模块、开卡模块，签约模块，集中授权模块等。后管服务有效支持业务人员对相关参数的维护包括产品管理、公告管理、监控管理（行为轨迹，操作日志）、信息管理、权限管理（机构管理、用户管理、菜单管理、设备管理）等。</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48" w:name="_Toc5137421"/>
      <w:r>
        <w:rPr>
          <w:rFonts w:hint="eastAsia" w:ascii="黑体"/>
          <w:b w:val="0"/>
          <w:color w:val="000000" w:themeColor="text1"/>
          <w:sz w:val="24"/>
          <w:szCs w:val="24"/>
          <w:highlight w:val="none"/>
        </w:rPr>
        <w:t>物理部署架构</w:t>
      </w:r>
      <w:bookmarkEnd w:id="248"/>
    </w:p>
    <w:p>
      <w:pPr>
        <w:rPr>
          <w:color w:val="000000" w:themeColor="text1"/>
          <w:sz w:val="24"/>
          <w:szCs w:val="24"/>
          <w:highlight w:val="none"/>
        </w:rPr>
      </w:pPr>
      <w:r>
        <w:rPr>
          <w:color w:val="000000" w:themeColor="text1"/>
          <w:sz w:val="24"/>
          <w:szCs w:val="24"/>
          <w:highlight w:val="none"/>
        </w:rPr>
        <w:drawing>
          <wp:inline distT="0" distB="0" distL="0" distR="0">
            <wp:extent cx="5715000" cy="4457700"/>
            <wp:effectExtent l="19050" t="0" r="19050" b="19050"/>
            <wp:docPr id="5" name="图片 5" descr="系统部署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系统部署架构图"/>
                    <pic:cNvPicPr>
                      <a:picLocks noChangeAspect="1" noChangeArrowheads="1"/>
                    </pic:cNvPicPr>
                  </pic:nvPicPr>
                  <pic:blipFill>
                    <a:blip r:embed="rId29"/>
                    <a:srcRect/>
                    <a:stretch>
                      <a:fillRect/>
                    </a:stretch>
                  </pic:blipFill>
                  <pic:spPr>
                    <a:xfrm>
                      <a:off x="0" y="0"/>
                      <a:ext cx="5715000" cy="4457700"/>
                    </a:xfrm>
                    <a:prstGeom prst="rect">
                      <a:avLst/>
                    </a:prstGeom>
                    <a:noFill/>
                    <a:ln w="9525">
                      <a:noFill/>
                      <a:miter lim="800000"/>
                      <a:headEnd/>
                      <a:tailEnd/>
                    </a:ln>
                    <a:effectLst>
                      <a:outerShdw dist="35921" dir="2700000" algn="ctr" rotWithShape="0">
                        <a:srgbClr val="808080"/>
                      </a:outerShdw>
                    </a:effectLst>
                  </pic:spPr>
                </pic:pic>
              </a:graphicData>
            </a:graphic>
          </wp:inline>
        </w:drawing>
      </w:r>
    </w:p>
    <w:p>
      <w:pPr>
        <w:spacing w:line="360" w:lineRule="auto"/>
        <w:ind w:firstLine="45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移动展业平台需要支持同城双数据中心之间实现应用双活部署。即在任意一个同城数据中心首先完成本地应用的集群部署，然后在同城双数据中心实现应用的双活部署。同城双数据中心在部署双活应用系统采用</w:t>
      </w:r>
      <w:r>
        <w:rPr>
          <w:rFonts w:ascii="仿宋_GB2312" w:hAnsi="宋体" w:eastAsia="仿宋_GB2312"/>
          <w:bCs/>
          <w:color w:val="000000" w:themeColor="text1"/>
          <w:sz w:val="24"/>
          <w:szCs w:val="24"/>
          <w:highlight w:val="none"/>
        </w:rPr>
        <w:t>F5负载均衡设备作为其主要调度和业务分配、分流设备，实现应用的自动负载，并提供服务健康状态检测功能，当应用节点发生异常时，F5会自动隔离故障节点，保障系统运行的高可用性和稳定性。要求两个数据中心都实时承载业务，同时也分别作为另一个数据中心相同应用的灾备</w:t>
      </w:r>
      <w:r>
        <w:rPr>
          <w:rFonts w:hint="eastAsia" w:ascii="仿宋_GB2312" w:hAnsi="宋体" w:eastAsia="仿宋_GB2312"/>
          <w:bCs/>
          <w:color w:val="000000" w:themeColor="text1"/>
          <w:sz w:val="24"/>
          <w:szCs w:val="24"/>
          <w:highlight w:val="none"/>
        </w:rPr>
        <w:t>。每个服务器节点安全独立运行，互不影响，可以实现节点的热插拔功能，方便系统维护调整。</w:t>
      </w:r>
    </w:p>
    <w:p>
      <w:pPr>
        <w:spacing w:line="360" w:lineRule="auto"/>
        <w:ind w:firstLine="45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数据库服务器同样实现集群式部署方案，采用数据库</w:t>
      </w:r>
      <w:r>
        <w:rPr>
          <w:rFonts w:ascii="仿宋_GB2312" w:hAnsi="宋体" w:eastAsia="仿宋_GB2312"/>
          <w:bCs/>
          <w:color w:val="000000" w:themeColor="text1"/>
          <w:sz w:val="24"/>
          <w:szCs w:val="24"/>
          <w:highlight w:val="none"/>
        </w:rPr>
        <w:t>RAC集群技术，其中一个中心的数据库为主库正常运行时，数据会同步到另一中心的备库中，当中心的主库发生异常时，能够快速切换到另一个备库中，保障业务的不间断运行。</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49" w:name="_Toc5137422"/>
      <w:r>
        <w:rPr>
          <w:rFonts w:hint="eastAsia" w:ascii="黑体"/>
          <w:b w:val="0"/>
          <w:color w:val="000000" w:themeColor="text1"/>
          <w:sz w:val="24"/>
          <w:szCs w:val="24"/>
          <w:highlight w:val="none"/>
        </w:rPr>
        <w:t>网络拓扑图</w:t>
      </w:r>
      <w:bookmarkEnd w:id="249"/>
    </w:p>
    <w:p>
      <w:pPr>
        <w:rPr>
          <w:rFonts w:ascii="仿宋_GB2312" w:hAnsi="宋体" w:eastAsia="仿宋_GB2312"/>
          <w:bCs/>
          <w:color w:val="000000" w:themeColor="text1"/>
          <w:sz w:val="24"/>
          <w:szCs w:val="24"/>
          <w:highlight w:val="none"/>
        </w:rPr>
      </w:pPr>
      <w:r>
        <w:rPr>
          <w:rFonts w:ascii="仿宋_GB2312" w:hAnsi="宋体" w:eastAsia="仿宋_GB2312"/>
          <w:bCs/>
          <w:color w:val="000000" w:themeColor="text1"/>
          <w:sz w:val="24"/>
          <w:szCs w:val="24"/>
          <w:highlight w:val="none"/>
        </w:rPr>
        <w:drawing>
          <wp:inline distT="0" distB="0" distL="0" distR="0">
            <wp:extent cx="5715000" cy="7943850"/>
            <wp:effectExtent l="38100" t="19050" r="19050" b="19050"/>
            <wp:docPr id="6" name="图片 6" descr="网络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网络拓扑图"/>
                    <pic:cNvPicPr>
                      <a:picLocks noChangeAspect="1" noChangeArrowheads="1"/>
                    </pic:cNvPicPr>
                  </pic:nvPicPr>
                  <pic:blipFill>
                    <a:blip r:embed="rId30"/>
                    <a:srcRect/>
                    <a:stretch>
                      <a:fillRect/>
                    </a:stretch>
                  </pic:blipFill>
                  <pic:spPr>
                    <a:xfrm>
                      <a:off x="0" y="0"/>
                      <a:ext cx="5715000" cy="7943850"/>
                    </a:xfrm>
                    <a:prstGeom prst="rect">
                      <a:avLst/>
                    </a:prstGeom>
                    <a:noFill/>
                    <a:ln w="6350" cmpd="sng">
                      <a:solidFill>
                        <a:srgbClr val="000000"/>
                      </a:solidFill>
                      <a:miter lim="800000"/>
                      <a:headEnd/>
                      <a:tailEnd/>
                    </a:ln>
                    <a:effectLst/>
                  </pic:spPr>
                </pic:pic>
              </a:graphicData>
            </a:graphic>
          </wp:inline>
        </w:drawing>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终端设备连接互联网络后，分得运营商提供的</w:t>
      </w:r>
      <w:r>
        <w:rPr>
          <w:rFonts w:ascii="仿宋_GB2312" w:hAnsi="宋体" w:eastAsia="仿宋_GB2312"/>
          <w:bCs/>
          <w:color w:val="000000" w:themeColor="text1"/>
          <w:sz w:val="24"/>
          <w:szCs w:val="24"/>
          <w:highlight w:val="none"/>
        </w:rPr>
        <w:t>IPv4或IPv6的地址，根据地址</w:t>
      </w:r>
      <w:r>
        <w:rPr>
          <w:rFonts w:hint="eastAsia" w:ascii="仿宋_GB2312" w:hAnsi="宋体" w:eastAsia="仿宋_GB2312"/>
          <w:bCs/>
          <w:color w:val="000000" w:themeColor="text1"/>
          <w:sz w:val="24"/>
          <w:szCs w:val="24"/>
          <w:highlight w:val="none"/>
        </w:rPr>
        <w:t>版本类型，各自进入我行</w:t>
      </w:r>
      <w:r>
        <w:rPr>
          <w:rFonts w:ascii="仿宋_GB2312" w:hAnsi="宋体" w:eastAsia="仿宋_GB2312"/>
          <w:bCs/>
          <w:color w:val="000000" w:themeColor="text1"/>
          <w:sz w:val="24"/>
          <w:szCs w:val="24"/>
          <w:highlight w:val="none"/>
        </w:rPr>
        <w:t>IPv4或IPv6的DMZ区，访问经过地址翻译（隐藏）的前置机。前置机将交易请求送出，经过NAT6/4（在IPv6环境）翻译后，发至管理服务器区的应用服务器。应用服务器与根据业务需求与相关的管理类系统、生产类系统进行交互。</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50" w:name="_Toc5137423"/>
      <w:r>
        <w:rPr>
          <w:rFonts w:hint="eastAsia" w:ascii="黑体"/>
          <w:b w:val="0"/>
          <w:color w:val="000000" w:themeColor="text1"/>
          <w:sz w:val="24"/>
          <w:szCs w:val="24"/>
          <w:highlight w:val="none"/>
        </w:rPr>
        <w:t>关联系统</w:t>
      </w:r>
      <w:bookmarkEnd w:id="250"/>
    </w:p>
    <w:p>
      <w:pPr>
        <w:widowControl/>
        <w:numPr>
          <w:ilvl w:val="0"/>
          <w:numId w:val="23"/>
        </w:numPr>
        <w:spacing w:line="360" w:lineRule="auto"/>
        <w:jc w:val="left"/>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新一代信用风险管理系统</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新一代信用风险管理系统是受理、审批、贷后运营等主要业务系统，主要包含：对接贷款预申请、征信授权、贷款过程中影像资料留存、预警信号的处理、工作任务提醒、贷款客户资料建立、客户贷款信息查询、贷款信息查询、基准利率查询以及</w:t>
      </w:r>
      <w:r>
        <w:rPr>
          <w:rFonts w:ascii="仿宋_GB2312" w:hAnsi="宋体" w:eastAsia="仿宋_GB2312"/>
          <w:bCs/>
          <w:color w:val="000000" w:themeColor="text1"/>
          <w:sz w:val="24"/>
          <w:szCs w:val="24"/>
          <w:highlight w:val="none"/>
        </w:rPr>
        <w:t>EDS工商司法相应的查询等业务交易。</w:t>
      </w:r>
    </w:p>
    <w:p>
      <w:pPr>
        <w:widowControl/>
        <w:numPr>
          <w:ilvl w:val="0"/>
          <w:numId w:val="23"/>
        </w:numPr>
        <w:spacing w:line="360" w:lineRule="auto"/>
        <w:jc w:val="left"/>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网贷系统</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网贷系统是对好企贷系列产品的申请受理、审批、贷后运营等主要系统，主要包含：对接在线好企贷系列产品的贷款申请、自动审查审批、贷款审批，贷后管理以及相关好企贷系列产品的查询业务。</w:t>
      </w:r>
    </w:p>
    <w:p>
      <w:pPr>
        <w:numPr>
          <w:ilvl w:val="0"/>
          <w:numId w:val="23"/>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集中授权系统</w:t>
      </w:r>
    </w:p>
    <w:p>
      <w:pPr>
        <w:ind w:left="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能够对接集中授权系统，支持集中授权的相关功能。</w:t>
      </w:r>
    </w:p>
    <w:p>
      <w:pPr>
        <w:numPr>
          <w:ilvl w:val="0"/>
          <w:numId w:val="23"/>
        </w:numPr>
        <w:rPr>
          <w:rFonts w:ascii="仿宋_GB2312" w:hAnsi="宋体" w:eastAsia="仿宋_GB2312"/>
          <w:bCs/>
          <w:color w:val="000000" w:themeColor="text1"/>
          <w:sz w:val="24"/>
          <w:szCs w:val="24"/>
          <w:highlight w:val="none"/>
        </w:rPr>
      </w:pPr>
      <w:r>
        <w:rPr>
          <w:rFonts w:ascii="仿宋_GB2312" w:hAnsi="宋体" w:eastAsia="仿宋_GB2312"/>
          <w:bCs/>
          <w:color w:val="000000" w:themeColor="text1"/>
          <w:sz w:val="24"/>
          <w:szCs w:val="24"/>
          <w:highlight w:val="none"/>
        </w:rPr>
        <w:t>ESB平台</w:t>
      </w:r>
    </w:p>
    <w:p>
      <w:pPr>
        <w:ind w:firstLine="420"/>
        <w:rPr>
          <w:rFonts w:ascii="仿宋_GB2312" w:hAnsi="宋体" w:eastAsia="仿宋_GB2312"/>
          <w:bCs/>
          <w:color w:val="000000" w:themeColor="text1"/>
          <w:sz w:val="24"/>
          <w:szCs w:val="24"/>
          <w:highlight w:val="none"/>
        </w:rPr>
      </w:pPr>
      <w:r>
        <w:rPr>
          <w:rFonts w:ascii="仿宋_GB2312" w:hAnsi="宋体" w:eastAsia="仿宋_GB2312"/>
          <w:bCs/>
          <w:color w:val="000000" w:themeColor="text1"/>
          <w:sz w:val="24"/>
          <w:szCs w:val="24"/>
          <w:highlight w:val="none"/>
        </w:rPr>
        <w:t>ESB平台是为移动展业平台与行内关联系统提供接口服务，包括核心，信贷，网贷、柜面、影像平台等行内相关系统。</w:t>
      </w:r>
    </w:p>
    <w:p>
      <w:pPr>
        <w:numPr>
          <w:ilvl w:val="0"/>
          <w:numId w:val="23"/>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核心系统</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核心系统是主要包含移动开户、开卡、签约办理、放款、查询的相关功能。</w:t>
      </w:r>
    </w:p>
    <w:p>
      <w:pPr>
        <w:numPr>
          <w:ilvl w:val="0"/>
          <w:numId w:val="23"/>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柜面前端</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柜面前端提供签到、签退、角色等服务接口。</w:t>
      </w:r>
    </w:p>
    <w:p>
      <w:pPr>
        <w:widowControl/>
        <w:numPr>
          <w:ilvl w:val="0"/>
          <w:numId w:val="24"/>
        </w:numPr>
        <w:spacing w:line="360" w:lineRule="auto"/>
        <w:jc w:val="left"/>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影像平台</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影像平台支持对无纸化相关材料的存储，调阅，支持实时和日终方式传输。</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无纸化平台</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支持移动展业平台各种业务过程中的无纸化相关接口功能。</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渠道整合平台</w:t>
      </w:r>
    </w:p>
    <w:p>
      <w:pPr>
        <w:ind w:left="425"/>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客户申请过程中需要对“四要素”的相关验证等功能。</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短信平台</w:t>
      </w:r>
    </w:p>
    <w:p>
      <w:pPr>
        <w:ind w:left="425"/>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支持移动展业平台对短信的发送功能。</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理财系统</w:t>
      </w:r>
    </w:p>
    <w:p>
      <w:pPr>
        <w:ind w:left="425"/>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支持移动展业平台对接理财系统，实现相关理财功能。</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密码服务平台</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支持移动展业平台办理柜面相关业务时的接口调用，不改变原接口。</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指纹系统</w:t>
      </w:r>
    </w:p>
    <w:p>
      <w:pPr>
        <w:ind w:left="425"/>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支持对移动展业平台的指纹相关业务的接口调用，不改变原接口。</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人脸识别系统</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移动展业平台对接人脸识别系统，支持相应的开卡、开户、征信查询模块、预申请等流程。</w:t>
      </w:r>
    </w:p>
    <w:p>
      <w:pPr>
        <w:numPr>
          <w:ilvl w:val="0"/>
          <w:numId w:val="24"/>
        </w:numPr>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联网核查系统</w:t>
      </w:r>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移动展业平台对接联网核查系统，支持相应的开卡、开户、征信查询模块、预申请等流程。</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51" w:name="_Toc5137424"/>
      <w:bookmarkStart w:id="252" w:name="_Toc528932325"/>
      <w:r>
        <w:rPr>
          <w:rFonts w:hint="eastAsia" w:ascii="黑体"/>
          <w:b w:val="0"/>
          <w:color w:val="000000" w:themeColor="text1"/>
          <w:sz w:val="24"/>
          <w:szCs w:val="24"/>
          <w:highlight w:val="none"/>
        </w:rPr>
        <w:t>系统软硬件配置要求</w:t>
      </w:r>
      <w:bookmarkEnd w:id="251"/>
      <w:bookmarkEnd w:id="252"/>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53" w:name="_Toc528932327"/>
      <w:bookmarkStart w:id="254" w:name="_Toc5137425"/>
      <w:r>
        <w:rPr>
          <w:rFonts w:hint="eastAsia" w:ascii="黑体" w:eastAsia="黑体"/>
          <w:b w:val="0"/>
          <w:color w:val="000000" w:themeColor="text1"/>
          <w:sz w:val="24"/>
          <w:szCs w:val="24"/>
          <w:highlight w:val="none"/>
        </w:rPr>
        <w:t>软硬件配置要求</w:t>
      </w:r>
      <w:bookmarkEnd w:id="253"/>
      <w:bookmarkEnd w:id="254"/>
    </w:p>
    <w:p>
      <w:pPr>
        <w:spacing w:line="360" w:lineRule="auto"/>
        <w:ind w:firstLine="480" w:firstLineChars="200"/>
        <w:rPr>
          <w:rFonts w:ascii="仿宋_GB2312" w:hAnsi="宋体" w:eastAsia="仿宋_GB2312"/>
          <w:bCs/>
          <w:color w:val="000000" w:themeColor="text1"/>
          <w:sz w:val="24"/>
          <w:szCs w:val="24"/>
          <w:highlight w:val="none"/>
        </w:rPr>
      </w:pPr>
      <w:bookmarkStart w:id="255" w:name="_Toc292281769"/>
      <w:r>
        <w:rPr>
          <w:rFonts w:hint="eastAsia" w:ascii="仿宋_GB2312" w:hAnsi="宋体" w:eastAsia="仿宋_GB2312"/>
          <w:bCs/>
          <w:color w:val="000000" w:themeColor="text1"/>
          <w:sz w:val="24"/>
          <w:szCs w:val="24"/>
          <w:highlight w:val="none"/>
        </w:rPr>
        <w:t>重庆银行数字化移动展业平台</w:t>
      </w:r>
      <w:bookmarkEnd w:id="255"/>
      <w:r>
        <w:rPr>
          <w:rFonts w:hint="eastAsia" w:ascii="仿宋_GB2312" w:hAnsi="宋体" w:eastAsia="仿宋_GB2312"/>
          <w:bCs/>
          <w:color w:val="000000" w:themeColor="text1"/>
          <w:sz w:val="24"/>
          <w:szCs w:val="24"/>
          <w:highlight w:val="none"/>
        </w:rPr>
        <w:t>部署架构采用双机</w:t>
      </w:r>
      <w:r>
        <w:rPr>
          <w:rFonts w:ascii="仿宋_GB2312" w:hAnsi="宋体" w:eastAsia="仿宋_GB2312"/>
          <w:bCs/>
          <w:color w:val="000000" w:themeColor="text1"/>
          <w:sz w:val="24"/>
          <w:szCs w:val="24"/>
          <w:highlight w:val="none"/>
        </w:rPr>
        <w:t>F5负载均衡方案部署。应考虑应用服务器、前置服务器、数据库服务器、存储设备等硬件配置的性能要求和稳定性要求。结合现有业务量（最高业务并发量、日平均业务量）及未来5年的业务增长量给出合理的配置数据。最后配置方案以实施厂商进场后结合系统平台，产品实施要求以及重庆银行的性能指标后制定的最终配置方案为准。</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56" w:name="_Toc5137426"/>
      <w:r>
        <w:rPr>
          <w:rFonts w:hint="eastAsia" w:ascii="黑体" w:eastAsia="黑体"/>
          <w:b w:val="0"/>
          <w:color w:val="000000" w:themeColor="text1"/>
          <w:sz w:val="24"/>
          <w:szCs w:val="24"/>
          <w:highlight w:val="none"/>
        </w:rPr>
        <w:t>开发语言、数据库、中间件要求</w:t>
      </w:r>
      <w:bookmarkEnd w:id="256"/>
    </w:p>
    <w:p>
      <w:pPr>
        <w:ind w:firstLine="480" w:firstLineChars="200"/>
        <w:jc w:val="left"/>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程序开发语言为目前程序开发的主流语言</w:t>
      </w:r>
      <w:r>
        <w:rPr>
          <w:rFonts w:ascii="仿宋_GB2312" w:hAnsi="宋体" w:eastAsia="仿宋_GB2312"/>
          <w:bCs/>
          <w:color w:val="000000" w:themeColor="text1"/>
          <w:sz w:val="24"/>
          <w:szCs w:val="24"/>
          <w:highlight w:val="none"/>
        </w:rPr>
        <w:t>JAVA，数据库使用ORACLE 12C，同时实施厂商也必须支持数据库和中间件在其生命周期的版本升级，应用和数据库编码支持UTF-8。</w:t>
      </w:r>
    </w:p>
    <w:p>
      <w:pPr>
        <w:pStyle w:val="2"/>
        <w:spacing w:before="340" w:after="330" w:line="578" w:lineRule="auto"/>
        <w:ind w:left="425" w:hanging="425" w:firstLineChars="0"/>
        <w:rPr>
          <w:rFonts w:ascii="黑体"/>
          <w:b w:val="0"/>
          <w:color w:val="000000" w:themeColor="text1"/>
          <w:sz w:val="24"/>
          <w:szCs w:val="24"/>
          <w:highlight w:val="none"/>
        </w:rPr>
      </w:pPr>
      <w:bookmarkStart w:id="257" w:name="_Toc5137427"/>
      <w:bookmarkStart w:id="258" w:name="_Toc528932328"/>
      <w:r>
        <w:rPr>
          <w:rFonts w:hint="eastAsia" w:ascii="黑体"/>
          <w:b w:val="0"/>
          <w:color w:val="000000" w:themeColor="text1"/>
          <w:sz w:val="24"/>
          <w:szCs w:val="24"/>
          <w:highlight w:val="none"/>
        </w:rPr>
        <w:t>可用性设计</w:t>
      </w:r>
      <w:bookmarkEnd w:id="257"/>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59" w:name="_Toc5137428"/>
      <w:r>
        <w:rPr>
          <w:rFonts w:hint="eastAsia" w:ascii="黑体"/>
          <w:b w:val="0"/>
          <w:color w:val="000000" w:themeColor="text1"/>
          <w:sz w:val="24"/>
          <w:szCs w:val="24"/>
          <w:highlight w:val="none"/>
        </w:rPr>
        <w:t>系统级可用性设计</w:t>
      </w:r>
      <w:bookmarkEnd w:id="259"/>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60" w:name="_Toc5137429"/>
      <w:r>
        <w:rPr>
          <w:rFonts w:hint="eastAsia" w:ascii="黑体" w:eastAsia="黑体"/>
          <w:b w:val="0"/>
          <w:color w:val="000000" w:themeColor="text1"/>
          <w:sz w:val="24"/>
          <w:szCs w:val="24"/>
          <w:highlight w:val="none"/>
        </w:rPr>
        <w:t>应用层</w:t>
      </w:r>
      <w:bookmarkEnd w:id="260"/>
    </w:p>
    <w:p>
      <w:pPr>
        <w:ind w:firstLine="480" w:firstLineChars="20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移动展业平台将支持应用的集群双活部署机制。该部署模式采用负载均衡技术，模块化的灵活部署方式，使得应用服务器具有极强的横向扩展能力，大大提升应用系统的处理能力。而应用的双活部署也通过资源整合充分利用双中心资源，使得双中心互为灾备模式，快速故障隔离和切换模式使得客户对于故障基本没有感知从而保证应用系统的高可用性。</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61" w:name="_Toc5137430"/>
      <w:r>
        <w:rPr>
          <w:rFonts w:hint="eastAsia" w:ascii="黑体"/>
          <w:b w:val="0"/>
          <w:color w:val="000000" w:themeColor="text1"/>
          <w:sz w:val="24"/>
          <w:szCs w:val="24"/>
          <w:highlight w:val="none"/>
        </w:rPr>
        <w:t>系统级可用性设计</w:t>
      </w:r>
      <w:bookmarkEnd w:id="261"/>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62" w:name="_Toc5137431"/>
      <w:r>
        <w:rPr>
          <w:rFonts w:hint="eastAsia" w:ascii="黑体" w:eastAsia="黑体"/>
          <w:b w:val="0"/>
          <w:color w:val="000000" w:themeColor="text1"/>
          <w:sz w:val="24"/>
          <w:szCs w:val="24"/>
          <w:highlight w:val="none"/>
        </w:rPr>
        <w:t>资源利用和控制设计</w:t>
      </w:r>
      <w:bookmarkEnd w:id="262"/>
    </w:p>
    <w:p>
      <w:pPr>
        <w:ind w:firstLine="480" w:firstLineChars="20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需支持弹性架构，即现有应用服务器处理性能不足或过量时，能按需进行增加或减少应用服务器的数量；对共享数据必须放置在</w:t>
      </w:r>
      <w:r>
        <w:rPr>
          <w:rFonts w:ascii="仿宋_GB2312" w:hAnsi="宋体" w:eastAsia="仿宋_GB2312"/>
          <w:bCs/>
          <w:color w:val="000000" w:themeColor="text1"/>
          <w:sz w:val="24"/>
          <w:szCs w:val="24"/>
          <w:highlight w:val="none"/>
        </w:rPr>
        <w:t>NAS存储上，服务器本地硬盘尽量精减；共享数据需规范化存储。</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63" w:name="_Toc5137432"/>
      <w:r>
        <w:rPr>
          <w:rFonts w:hint="eastAsia" w:ascii="黑体" w:eastAsia="黑体"/>
          <w:b w:val="0"/>
          <w:color w:val="000000" w:themeColor="text1"/>
          <w:sz w:val="24"/>
          <w:szCs w:val="24"/>
          <w:highlight w:val="none"/>
        </w:rPr>
        <w:t>故障处理设计</w:t>
      </w:r>
      <w:bookmarkEnd w:id="263"/>
    </w:p>
    <w:p>
      <w:pPr>
        <w:widowControl/>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◆数据备份</w:t>
      </w:r>
    </w:p>
    <w:p>
      <w:pPr>
        <w:widowControl/>
        <w:ind w:firstLine="480" w:firstLineChars="20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系统采用</w:t>
      </w:r>
      <w:r>
        <w:rPr>
          <w:rFonts w:ascii="仿宋_GB2312" w:hAnsi="宋体" w:eastAsia="仿宋_GB2312"/>
          <w:bCs/>
          <w:color w:val="000000" w:themeColor="text1"/>
          <w:sz w:val="24"/>
          <w:szCs w:val="24"/>
          <w:highlight w:val="none"/>
        </w:rPr>
        <w:t>Oracle数据库灾难备份系统的安全策略，并对备份数据实行异地保存，提高备份数据的安全性，提高系统的可靠性。</w:t>
      </w:r>
    </w:p>
    <w:p>
      <w:pPr>
        <w:pStyle w:val="2"/>
        <w:spacing w:before="340" w:after="330" w:line="578" w:lineRule="auto"/>
        <w:ind w:left="425" w:hanging="425" w:firstLineChars="0"/>
        <w:rPr>
          <w:rFonts w:ascii="黑体"/>
          <w:b w:val="0"/>
          <w:color w:val="000000" w:themeColor="text1"/>
          <w:sz w:val="24"/>
          <w:szCs w:val="24"/>
          <w:highlight w:val="none"/>
        </w:rPr>
      </w:pPr>
      <w:bookmarkStart w:id="264" w:name="_Toc5137433"/>
      <w:r>
        <w:rPr>
          <w:rFonts w:hint="eastAsia" w:ascii="黑体"/>
          <w:b w:val="0"/>
          <w:color w:val="000000" w:themeColor="text1"/>
          <w:sz w:val="24"/>
          <w:szCs w:val="24"/>
          <w:highlight w:val="none"/>
        </w:rPr>
        <w:t>技术需求</w:t>
      </w:r>
      <w:bookmarkEnd w:id="264"/>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65" w:name="_Toc5137434"/>
      <w:r>
        <w:rPr>
          <w:rFonts w:hint="eastAsia" w:ascii="黑体"/>
          <w:b w:val="0"/>
          <w:color w:val="000000" w:themeColor="text1"/>
          <w:sz w:val="24"/>
          <w:szCs w:val="24"/>
          <w:highlight w:val="none"/>
        </w:rPr>
        <w:t>开发平台需求</w:t>
      </w:r>
      <w:bookmarkEnd w:id="265"/>
    </w:p>
    <w:p>
      <w:pPr>
        <w:ind w:firstLine="42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遵循软件工程的相关规范，使用业界通用的软件开发工具，能够达到开发一套代码同时适用</w:t>
      </w:r>
      <w:r>
        <w:rPr>
          <w:rFonts w:ascii="仿宋_GB2312" w:hAnsi="宋体" w:eastAsia="仿宋_GB2312"/>
          <w:bCs/>
          <w:color w:val="000000" w:themeColor="text1"/>
          <w:sz w:val="24"/>
          <w:szCs w:val="24"/>
          <w:highlight w:val="none"/>
        </w:rPr>
        <w:t>IOS版本和安卓APP版本，避免不必要的人力消耗。</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66" w:name="_Toc5137435"/>
      <w:r>
        <w:rPr>
          <w:rFonts w:hint="eastAsia" w:ascii="黑体"/>
          <w:b w:val="0"/>
          <w:color w:val="000000" w:themeColor="text1"/>
          <w:sz w:val="24"/>
          <w:szCs w:val="24"/>
          <w:highlight w:val="none"/>
        </w:rPr>
        <w:t>通讯接入层需求</w:t>
      </w:r>
      <w:bookmarkEnd w:id="266"/>
    </w:p>
    <w:p>
      <w:pPr>
        <w:ind w:firstLine="480" w:firstLineChars="200"/>
        <w:rPr>
          <w:rFonts w:ascii="仿宋_GB2312" w:hAnsi="宋体" w:eastAsia="仿宋_GB2312"/>
          <w:bCs/>
          <w:color w:val="000000" w:themeColor="text1"/>
          <w:sz w:val="24"/>
          <w:szCs w:val="24"/>
          <w:highlight w:val="none"/>
        </w:rPr>
      </w:pPr>
      <w:r>
        <w:rPr>
          <w:rFonts w:hint="eastAsia" w:ascii="仿宋_GB2312" w:hAnsi="宋体" w:eastAsia="仿宋_GB2312"/>
          <w:bCs/>
          <w:color w:val="000000" w:themeColor="text1"/>
          <w:sz w:val="24"/>
          <w:szCs w:val="24"/>
          <w:highlight w:val="none"/>
        </w:rPr>
        <w:t>系统支持主流通讯协议如</w:t>
      </w:r>
      <w:r>
        <w:rPr>
          <w:rFonts w:ascii="仿宋_GB2312" w:hAnsi="宋体" w:eastAsia="仿宋_GB2312"/>
          <w:bCs/>
          <w:color w:val="000000" w:themeColor="text1"/>
          <w:sz w:val="24"/>
          <w:szCs w:val="24"/>
          <w:highlight w:val="none"/>
        </w:rPr>
        <w:t>TCP、HTTP/HTTPS等，不同的传输协议采用不同的报文格式，有定长、XML、JSON等。</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67" w:name="_Toc5137436"/>
      <w:r>
        <w:rPr>
          <w:rFonts w:hint="eastAsia" w:ascii="黑体"/>
          <w:b w:val="0"/>
          <w:color w:val="000000" w:themeColor="text1"/>
          <w:sz w:val="24"/>
          <w:szCs w:val="24"/>
          <w:highlight w:val="none"/>
        </w:rPr>
        <w:t>性能指标要求</w:t>
      </w:r>
      <w:bookmarkEnd w:id="258"/>
      <w:bookmarkEnd w:id="267"/>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68" w:name="_Toc5137437"/>
      <w:r>
        <w:rPr>
          <w:rFonts w:hint="eastAsia" w:ascii="黑体" w:eastAsia="黑体"/>
          <w:b w:val="0"/>
          <w:color w:val="000000" w:themeColor="text1"/>
          <w:sz w:val="24"/>
          <w:szCs w:val="24"/>
          <w:highlight w:val="none"/>
        </w:rPr>
        <w:t>总体处理能力要求</w:t>
      </w:r>
      <w:bookmarkEnd w:id="268"/>
    </w:p>
    <w:p>
      <w:pPr>
        <w:ind w:firstLine="480" w:firstLineChars="200"/>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预估我行目前展业相关业务日峰值10000笔交易，每年递增10%，满足五年内要求推算，业务量为：16000笔/日,584万笔/年。</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69" w:name="_Toc5137438"/>
      <w:r>
        <w:rPr>
          <w:rFonts w:hint="eastAsia" w:ascii="黑体" w:eastAsia="黑体"/>
          <w:b w:val="0"/>
          <w:color w:val="000000" w:themeColor="text1"/>
          <w:sz w:val="24"/>
          <w:szCs w:val="24"/>
          <w:highlight w:val="none"/>
        </w:rPr>
        <w:t>响应时间要求</w:t>
      </w:r>
      <w:bookmarkEnd w:id="269"/>
    </w:p>
    <w:p>
      <w:pPr>
        <w:tabs>
          <w:tab w:val="left" w:pos="625"/>
          <w:tab w:val="left" w:pos="1260"/>
        </w:tabs>
        <w:rPr>
          <w:rFonts w:ascii="仿宋_GB2312" w:eastAsia="仿宋_GB2312"/>
          <w:color w:val="000000" w:themeColor="text1"/>
          <w:sz w:val="24"/>
          <w:szCs w:val="24"/>
          <w:highlight w:val="none"/>
        </w:rPr>
      </w:pPr>
      <w:r>
        <w:rPr>
          <w:rFonts w:ascii="仿宋_GB2312" w:eastAsia="仿宋_GB2312"/>
          <w:color w:val="000000" w:themeColor="text1"/>
          <w:sz w:val="24"/>
          <w:szCs w:val="24"/>
          <w:highlight w:val="none"/>
        </w:rPr>
        <w:tab/>
      </w:r>
      <w:r>
        <w:rPr>
          <w:rFonts w:hint="eastAsia" w:ascii="仿宋_GB2312" w:eastAsia="仿宋_GB2312"/>
          <w:color w:val="000000" w:themeColor="text1"/>
          <w:sz w:val="24"/>
          <w:szCs w:val="24"/>
          <w:highlight w:val="none"/>
        </w:rPr>
        <w:t>移动展业平台平均每笔交易响应时间：</w:t>
      </w:r>
      <w:r>
        <w:rPr>
          <w:rFonts w:ascii="仿宋_GB2312" w:eastAsia="仿宋_GB2312"/>
          <w:color w:val="000000" w:themeColor="text1"/>
          <w:sz w:val="24"/>
          <w:szCs w:val="24"/>
          <w:highlight w:val="none"/>
        </w:rPr>
        <w:t>&lt;0.</w:t>
      </w:r>
      <w:r>
        <w:rPr>
          <w:rFonts w:hint="eastAsia" w:ascii="仿宋_GB2312" w:eastAsia="仿宋_GB2312"/>
          <w:color w:val="000000" w:themeColor="text1"/>
          <w:sz w:val="24"/>
          <w:szCs w:val="24"/>
          <w:highlight w:val="none"/>
        </w:rPr>
        <w:t>1秒，峰值每笔交易响应时间：</w:t>
      </w:r>
      <w:r>
        <w:rPr>
          <w:rFonts w:ascii="仿宋_GB2312" w:eastAsia="仿宋_GB2312"/>
          <w:color w:val="000000" w:themeColor="text1"/>
          <w:sz w:val="24"/>
          <w:szCs w:val="24"/>
          <w:highlight w:val="none"/>
        </w:rPr>
        <w:t>&lt;</w:t>
      </w:r>
      <w:r>
        <w:rPr>
          <w:rFonts w:hint="eastAsia" w:ascii="仿宋_GB2312" w:eastAsia="仿宋_GB2312"/>
          <w:color w:val="000000" w:themeColor="text1"/>
          <w:sz w:val="24"/>
          <w:szCs w:val="24"/>
          <w:highlight w:val="none"/>
        </w:rPr>
        <w:t>0.3秒。</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70" w:name="_Toc5137439"/>
      <w:r>
        <w:rPr>
          <w:rFonts w:hint="eastAsia" w:ascii="黑体" w:eastAsia="黑体"/>
          <w:b w:val="0"/>
          <w:color w:val="000000" w:themeColor="text1"/>
          <w:sz w:val="24"/>
          <w:szCs w:val="24"/>
          <w:highlight w:val="none"/>
        </w:rPr>
        <w:t>并发处理要求</w:t>
      </w:r>
      <w:bookmarkEnd w:id="270"/>
    </w:p>
    <w:p>
      <w:pPr>
        <w:tabs>
          <w:tab w:val="left" w:pos="625"/>
          <w:tab w:val="left" w:pos="1260"/>
        </w:tabs>
        <w:rPr>
          <w:rFonts w:ascii="仿宋_GB2312" w:eastAsia="仿宋_GB2312"/>
          <w:color w:val="000000" w:themeColor="text1"/>
          <w:sz w:val="24"/>
          <w:szCs w:val="24"/>
          <w:highlight w:val="none"/>
        </w:rPr>
      </w:pPr>
      <w:r>
        <w:rPr>
          <w:rFonts w:ascii="仿宋_GB2312" w:eastAsia="仿宋_GB2312"/>
          <w:color w:val="000000" w:themeColor="text1"/>
          <w:sz w:val="24"/>
          <w:szCs w:val="24"/>
          <w:highlight w:val="none"/>
        </w:rPr>
        <w:tab/>
      </w:r>
      <w:r>
        <w:rPr>
          <w:rFonts w:hint="eastAsia" w:ascii="仿宋_GB2312" w:eastAsia="仿宋_GB2312"/>
          <w:color w:val="000000" w:themeColor="text1"/>
          <w:sz w:val="24"/>
          <w:szCs w:val="24"/>
          <w:highlight w:val="none"/>
        </w:rPr>
        <w:t>考虑到未来展业产品不和非现金业务不断加入，要求系统能够达到100个/s并发，TPS大于300。当并发用户数逐步增多，系统资源利用率应成线性比例增长，满足将来可以通过系统硬件扩容来解决系统用户数增长带来的系统压力增长。随着业务量变大，系统能够通过新加服务器的方式，增大系统并发量，满足业务的发展。</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71" w:name="_Toc528932330"/>
      <w:bookmarkStart w:id="272" w:name="_Toc5137440"/>
      <w:r>
        <w:rPr>
          <w:rFonts w:hint="eastAsia" w:ascii="黑体" w:eastAsia="黑体"/>
          <w:b w:val="0"/>
          <w:color w:val="000000" w:themeColor="text1"/>
          <w:sz w:val="24"/>
          <w:szCs w:val="24"/>
          <w:highlight w:val="none"/>
        </w:rPr>
        <w:t>稳定性要求</w:t>
      </w:r>
      <w:bookmarkEnd w:id="271"/>
      <w:bookmarkEnd w:id="272"/>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◆系统处理交易成功率达到99.9%。</w:t>
      </w:r>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◆系统处理交易正确率达到100%。</w:t>
      </w:r>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◆支持系统7×24的连续运行。</w:t>
      </w:r>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◆系统资源占用率（CPU占用率和内存使用率）不应超过70%，其中数据库系统资源应考虑我行未来数据容量增长的趋势做出前瞻的资源配置。</w:t>
      </w:r>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◆要求实施的系统支持F5多机负载均衡模式、weblogic的集群或系统软集群。</w:t>
      </w:r>
    </w:p>
    <w:p>
      <w:pPr>
        <w:spacing w:line="360" w:lineRule="auto"/>
        <w:rPr>
          <w:rFonts w:ascii="仿宋_GB2312" w:eastAsia="仿宋_GB2312"/>
          <w:color w:val="000000" w:themeColor="text1"/>
          <w:sz w:val="24"/>
          <w:szCs w:val="24"/>
          <w:highlight w:val="none"/>
        </w:rPr>
      </w:pPr>
      <w:r>
        <w:rPr>
          <w:rFonts w:hint="eastAsia" w:ascii="仿宋_GB2312" w:eastAsia="仿宋_GB2312"/>
          <w:color w:val="000000" w:themeColor="text1"/>
          <w:sz w:val="24"/>
          <w:szCs w:val="24"/>
          <w:highlight w:val="none"/>
        </w:rPr>
        <w:t>◆具备较强的容错能力，在平台接收大量交易请求时，提供请求排队及队列缓冲机制，以降低请求方出错率。</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73" w:name="_Toc5137441"/>
      <w:r>
        <w:rPr>
          <w:rFonts w:hint="eastAsia" w:ascii="黑体" w:eastAsia="黑体"/>
          <w:b w:val="0"/>
          <w:color w:val="000000" w:themeColor="text1"/>
          <w:sz w:val="24"/>
          <w:szCs w:val="24"/>
          <w:highlight w:val="none"/>
        </w:rPr>
        <w:t>安全性要求</w:t>
      </w:r>
      <w:bookmarkEnd w:id="273"/>
    </w:p>
    <w:p>
      <w:pPr>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移动展业平台在互联网下交互，应完全满足我行内控要求的安全监管保障，包括不限于具有基本的安全防护策略，技术防控功能，防止被恶意攻击的能力，保证完整性，安全性，防篡改，加密传输等安全能力。</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74" w:name="_Toc5137442"/>
      <w:r>
        <w:rPr>
          <w:rFonts w:hint="eastAsia" w:ascii="黑体" w:eastAsia="黑体"/>
          <w:b w:val="0"/>
          <w:color w:val="000000" w:themeColor="text1"/>
          <w:sz w:val="24"/>
          <w:szCs w:val="24"/>
          <w:highlight w:val="none"/>
        </w:rPr>
        <w:t>运维管理要求</w:t>
      </w:r>
      <w:bookmarkEnd w:id="274"/>
    </w:p>
    <w:p>
      <w:pPr>
        <w:ind w:firstLine="420"/>
        <w:rPr>
          <w:rFonts w:ascii="仿宋_GB2312" w:eastAsia="仿宋_GB2312"/>
          <w:color w:val="000000" w:themeColor="text1"/>
          <w:sz w:val="24"/>
          <w:szCs w:val="24"/>
          <w:highlight w:val="none"/>
        </w:rPr>
      </w:pPr>
      <w:r>
        <w:rPr>
          <w:rFonts w:hint="eastAsia" w:eastAsia="仿宋_GB2312"/>
          <w:color w:val="000000" w:themeColor="text1"/>
          <w:sz w:val="24"/>
          <w:szCs w:val="24"/>
          <w:highlight w:val="none"/>
        </w:rPr>
        <w:t>移动展业平台应满足长周期不间断运行，满足多种业务应用。在具有处理高性能和高稳定性之外，系统应具有极好的可维护性，</w:t>
      </w:r>
      <w:r>
        <w:rPr>
          <w:rFonts w:hint="eastAsia" w:ascii="仿宋_GB2312" w:eastAsia="仿宋_GB2312"/>
          <w:color w:val="000000" w:themeColor="text1"/>
          <w:sz w:val="24"/>
          <w:szCs w:val="24"/>
          <w:highlight w:val="none"/>
        </w:rPr>
        <w:t>定期安排巡检对移动展业平台的运行状况和未来发展情况做出分析和评估。</w:t>
      </w:r>
    </w:p>
    <w:p>
      <w:pPr>
        <w:pStyle w:val="5"/>
        <w:numPr>
          <w:ilvl w:val="3"/>
          <w:numId w:val="0"/>
        </w:numPr>
        <w:tabs>
          <w:tab w:val="left" w:pos="864"/>
        </w:tabs>
        <w:ind w:left="851" w:hanging="851"/>
        <w:rPr>
          <w:rFonts w:ascii="黑体" w:eastAsia="黑体"/>
          <w:b w:val="0"/>
          <w:color w:val="000000" w:themeColor="text1"/>
          <w:sz w:val="24"/>
          <w:szCs w:val="24"/>
          <w:highlight w:val="none"/>
        </w:rPr>
      </w:pPr>
      <w:r>
        <w:rPr>
          <w:rFonts w:hint="eastAsia" w:ascii="黑体" w:eastAsia="黑体"/>
          <w:b w:val="0"/>
          <w:color w:val="000000" w:themeColor="text1"/>
          <w:sz w:val="24"/>
          <w:szCs w:val="24"/>
          <w:highlight w:val="none"/>
        </w:rPr>
        <w:t>日常运维</w:t>
      </w:r>
    </w:p>
    <w:p>
      <w:pPr>
        <w:ind w:firstLine="480" w:firstLineChars="200"/>
        <w:jc w:val="left"/>
        <w:rPr>
          <w:rFonts w:eastAsia="仿宋_GB2312"/>
          <w:color w:val="000000" w:themeColor="text1"/>
          <w:sz w:val="24"/>
          <w:szCs w:val="24"/>
          <w:highlight w:val="none"/>
        </w:rPr>
      </w:pPr>
      <w:r>
        <w:rPr>
          <w:rFonts w:hint="eastAsia" w:eastAsia="仿宋_GB2312"/>
          <w:color w:val="000000" w:themeColor="text1"/>
          <w:sz w:val="24"/>
          <w:szCs w:val="24"/>
          <w:highlight w:val="none"/>
        </w:rPr>
        <w:t>移动展业平台应提供应用启动，应用停止，应用重启，状态查看，应用备份的图形化界面方面运维人员操作。</w:t>
      </w:r>
    </w:p>
    <w:p>
      <w:pPr>
        <w:numPr>
          <w:ilvl w:val="0"/>
          <w:numId w:val="25"/>
        </w:numPr>
        <w:jc w:val="left"/>
        <w:rPr>
          <w:rFonts w:eastAsia="仿宋_GB2312"/>
          <w:color w:val="000000" w:themeColor="text1"/>
          <w:sz w:val="24"/>
          <w:szCs w:val="24"/>
          <w:highlight w:val="none"/>
        </w:rPr>
      </w:pPr>
      <w:r>
        <w:rPr>
          <w:rFonts w:hint="eastAsia" w:eastAsia="仿宋_GB2312"/>
          <w:color w:val="000000" w:themeColor="text1"/>
          <w:sz w:val="24"/>
          <w:szCs w:val="24"/>
          <w:highlight w:val="none"/>
        </w:rPr>
        <w:t>应用启动</w:t>
      </w:r>
    </w:p>
    <w:p>
      <w:pPr>
        <w:ind w:left="420"/>
        <w:jc w:val="left"/>
        <w:rPr>
          <w:rFonts w:eastAsia="仿宋_GB2312"/>
          <w:color w:val="000000" w:themeColor="text1"/>
          <w:sz w:val="24"/>
          <w:szCs w:val="24"/>
          <w:highlight w:val="none"/>
        </w:rPr>
      </w:pPr>
      <w:r>
        <w:rPr>
          <w:rFonts w:hint="eastAsia" w:eastAsia="仿宋_GB2312"/>
          <w:color w:val="000000" w:themeColor="text1"/>
          <w:sz w:val="24"/>
          <w:szCs w:val="24"/>
          <w:highlight w:val="none"/>
        </w:rPr>
        <w:t>指启动应用进程操作，如果该系统有多个进程，并且之间相互独立且有启动先后顺序，则可以将该操作分成多个启动选项；</w:t>
      </w:r>
    </w:p>
    <w:p>
      <w:pPr>
        <w:numPr>
          <w:ilvl w:val="0"/>
          <w:numId w:val="25"/>
        </w:numPr>
        <w:jc w:val="left"/>
        <w:rPr>
          <w:rFonts w:eastAsia="仿宋_GB2312"/>
          <w:color w:val="000000" w:themeColor="text1"/>
          <w:sz w:val="24"/>
          <w:szCs w:val="24"/>
          <w:highlight w:val="none"/>
        </w:rPr>
      </w:pPr>
      <w:r>
        <w:rPr>
          <w:rFonts w:hint="eastAsia" w:eastAsia="仿宋_GB2312"/>
          <w:color w:val="000000" w:themeColor="text1"/>
          <w:sz w:val="24"/>
          <w:szCs w:val="24"/>
          <w:highlight w:val="none"/>
        </w:rPr>
        <w:t>应用停止</w:t>
      </w:r>
    </w:p>
    <w:p>
      <w:pPr>
        <w:ind w:left="420"/>
        <w:jc w:val="left"/>
        <w:rPr>
          <w:rFonts w:eastAsia="仿宋_GB2312"/>
          <w:color w:val="000000" w:themeColor="text1"/>
          <w:sz w:val="24"/>
          <w:szCs w:val="24"/>
          <w:highlight w:val="none"/>
        </w:rPr>
      </w:pPr>
      <w:r>
        <w:rPr>
          <w:rFonts w:hint="eastAsia" w:eastAsia="仿宋_GB2312"/>
          <w:color w:val="000000" w:themeColor="text1"/>
          <w:sz w:val="24"/>
          <w:szCs w:val="24"/>
          <w:highlight w:val="none"/>
        </w:rPr>
        <w:t>指停止应用进程操作，如果该系统有多个进程，并且之间相互独立且有停止先后顺序，则可以将该操作分成多个停止选项；</w:t>
      </w:r>
    </w:p>
    <w:p>
      <w:pPr>
        <w:numPr>
          <w:ilvl w:val="0"/>
          <w:numId w:val="25"/>
        </w:numPr>
        <w:jc w:val="left"/>
        <w:rPr>
          <w:rFonts w:eastAsia="仿宋_GB2312"/>
          <w:color w:val="000000" w:themeColor="text1"/>
          <w:sz w:val="24"/>
          <w:szCs w:val="24"/>
          <w:highlight w:val="none"/>
        </w:rPr>
      </w:pPr>
      <w:r>
        <w:rPr>
          <w:rFonts w:hint="eastAsia" w:eastAsia="仿宋_GB2312"/>
          <w:color w:val="000000" w:themeColor="text1"/>
          <w:sz w:val="24"/>
          <w:szCs w:val="24"/>
          <w:highlight w:val="none"/>
        </w:rPr>
        <w:t>状态察看</w:t>
      </w:r>
    </w:p>
    <w:p>
      <w:pPr>
        <w:ind w:left="420"/>
        <w:jc w:val="left"/>
        <w:rPr>
          <w:rFonts w:eastAsia="仿宋_GB2312"/>
          <w:color w:val="000000" w:themeColor="text1"/>
          <w:sz w:val="24"/>
          <w:szCs w:val="24"/>
          <w:highlight w:val="none"/>
        </w:rPr>
      </w:pPr>
      <w:r>
        <w:rPr>
          <w:rFonts w:hint="eastAsia" w:eastAsia="仿宋_GB2312"/>
          <w:color w:val="000000" w:themeColor="text1"/>
          <w:sz w:val="24"/>
          <w:szCs w:val="24"/>
          <w:highlight w:val="none"/>
        </w:rPr>
        <w:t>指察看各个进程状态和数目的操作，方便运维人员检查应用系统健康状态；</w:t>
      </w:r>
    </w:p>
    <w:p>
      <w:pPr>
        <w:numPr>
          <w:ilvl w:val="0"/>
          <w:numId w:val="25"/>
        </w:numPr>
        <w:jc w:val="left"/>
        <w:rPr>
          <w:rFonts w:eastAsia="仿宋_GB2312"/>
          <w:color w:val="000000" w:themeColor="text1"/>
          <w:sz w:val="24"/>
          <w:szCs w:val="24"/>
          <w:highlight w:val="none"/>
        </w:rPr>
      </w:pPr>
      <w:r>
        <w:rPr>
          <w:rFonts w:hint="eastAsia" w:eastAsia="仿宋_GB2312"/>
          <w:color w:val="000000" w:themeColor="text1"/>
          <w:sz w:val="24"/>
          <w:szCs w:val="24"/>
          <w:highlight w:val="none"/>
        </w:rPr>
        <w:t>应用备份</w:t>
      </w:r>
    </w:p>
    <w:p>
      <w:pPr>
        <w:ind w:left="420"/>
        <w:jc w:val="left"/>
        <w:rPr>
          <w:rFonts w:eastAsia="仿宋_GB2312"/>
          <w:color w:val="000000" w:themeColor="text1"/>
          <w:sz w:val="24"/>
          <w:szCs w:val="24"/>
          <w:highlight w:val="none"/>
        </w:rPr>
      </w:pPr>
      <w:r>
        <w:rPr>
          <w:rFonts w:hint="eastAsia" w:eastAsia="仿宋_GB2312"/>
          <w:color w:val="000000" w:themeColor="text1"/>
          <w:sz w:val="24"/>
          <w:szCs w:val="24"/>
          <w:highlight w:val="none"/>
        </w:rPr>
        <w:t>指将应用程序打包压缩备份到应用程序备份目录下，文件名为</w:t>
      </w:r>
      <w:r>
        <w:rPr>
          <w:rFonts w:eastAsia="仿宋_GB2312"/>
          <w:color w:val="000000" w:themeColor="text1"/>
          <w:sz w:val="24"/>
          <w:szCs w:val="24"/>
          <w:highlight w:val="none"/>
        </w:rPr>
        <w:t>XXXbackup_YYYYMMDDHHMM.zip</w:t>
      </w:r>
      <w:r>
        <w:rPr>
          <w:rFonts w:hint="eastAsia" w:eastAsia="仿宋_GB2312"/>
          <w:color w:val="000000" w:themeColor="text1"/>
          <w:sz w:val="24"/>
          <w:szCs w:val="24"/>
          <w:highlight w:val="none"/>
        </w:rPr>
        <w:t>。注意：打包内容不应该包含日志文件。</w:t>
      </w:r>
    </w:p>
    <w:p>
      <w:pPr>
        <w:pStyle w:val="5"/>
        <w:numPr>
          <w:ilvl w:val="3"/>
          <w:numId w:val="0"/>
        </w:numPr>
        <w:tabs>
          <w:tab w:val="left" w:pos="864"/>
        </w:tabs>
        <w:ind w:left="851" w:hanging="851"/>
        <w:rPr>
          <w:rFonts w:ascii="黑体" w:eastAsia="黑体"/>
          <w:b w:val="0"/>
          <w:color w:val="000000" w:themeColor="text1"/>
          <w:sz w:val="24"/>
          <w:szCs w:val="24"/>
          <w:highlight w:val="none"/>
        </w:rPr>
      </w:pPr>
      <w:r>
        <w:rPr>
          <w:rFonts w:hint="eastAsia" w:ascii="黑体" w:eastAsia="黑体"/>
          <w:b w:val="0"/>
          <w:color w:val="000000" w:themeColor="text1"/>
          <w:sz w:val="24"/>
          <w:szCs w:val="24"/>
          <w:highlight w:val="none"/>
        </w:rPr>
        <w:t>版本部署</w:t>
      </w:r>
    </w:p>
    <w:p>
      <w:pPr>
        <w:rPr>
          <w:rFonts w:eastAsia="仿宋_GB2312"/>
          <w:color w:val="000000" w:themeColor="text1"/>
          <w:sz w:val="24"/>
          <w:szCs w:val="24"/>
          <w:highlight w:val="none"/>
        </w:rPr>
      </w:pPr>
      <w:r>
        <w:rPr>
          <w:rFonts w:hint="eastAsia" w:eastAsia="仿宋_GB2312"/>
          <w:color w:val="000000" w:themeColor="text1"/>
          <w:sz w:val="24"/>
          <w:szCs w:val="24"/>
          <w:highlight w:val="none"/>
        </w:rPr>
        <w:t>建议能提供图形化界面将程序包一次部署到多台应用主机上。</w:t>
      </w:r>
    </w:p>
    <w:p>
      <w:pPr>
        <w:pStyle w:val="5"/>
        <w:numPr>
          <w:ilvl w:val="3"/>
          <w:numId w:val="0"/>
        </w:numPr>
        <w:tabs>
          <w:tab w:val="left" w:pos="864"/>
        </w:tabs>
        <w:ind w:left="851" w:hanging="851"/>
        <w:rPr>
          <w:rFonts w:ascii="黑体" w:eastAsia="黑体"/>
          <w:b w:val="0"/>
          <w:color w:val="000000" w:themeColor="text1"/>
          <w:sz w:val="24"/>
          <w:szCs w:val="24"/>
          <w:highlight w:val="none"/>
        </w:rPr>
      </w:pPr>
      <w:r>
        <w:rPr>
          <w:rFonts w:hint="eastAsia" w:ascii="黑体" w:eastAsia="黑体"/>
          <w:b w:val="0"/>
          <w:color w:val="000000" w:themeColor="text1"/>
          <w:sz w:val="24"/>
          <w:szCs w:val="24"/>
          <w:highlight w:val="none"/>
        </w:rPr>
        <w:t>日志管理</w:t>
      </w:r>
    </w:p>
    <w:p>
      <w:pPr>
        <w:ind w:firstLine="420"/>
        <w:rPr>
          <w:rFonts w:eastAsia="仿宋_GB2312"/>
          <w:color w:val="000000" w:themeColor="text1"/>
          <w:sz w:val="24"/>
          <w:szCs w:val="24"/>
          <w:highlight w:val="none"/>
        </w:rPr>
      </w:pPr>
      <w:r>
        <w:rPr>
          <w:rFonts w:hint="eastAsia" w:eastAsia="仿宋_GB2312"/>
          <w:color w:val="000000" w:themeColor="text1"/>
          <w:sz w:val="24"/>
          <w:szCs w:val="24"/>
          <w:highlight w:val="none"/>
        </w:rPr>
        <w:t>应提供日志查询及结果展现。日志分别记录在相应节点主机日志目录，日志文件统一规范，包含日志级别、日志内容、日志记录方式、日志命名方式等，同时所有的规范必须方便运维人员快速、准确查看单笔交易流程。</w:t>
      </w:r>
    </w:p>
    <w:p>
      <w:pPr>
        <w:ind w:firstLine="420"/>
        <w:rPr>
          <w:rFonts w:eastAsia="仿宋_GB2312"/>
          <w:color w:val="000000" w:themeColor="text1"/>
          <w:sz w:val="24"/>
          <w:szCs w:val="24"/>
          <w:highlight w:val="none"/>
        </w:rPr>
      </w:pPr>
      <w:r>
        <w:rPr>
          <w:rFonts w:hint="eastAsia" w:eastAsia="仿宋_GB2312"/>
          <w:color w:val="000000" w:themeColor="text1"/>
          <w:sz w:val="24"/>
          <w:szCs w:val="24"/>
          <w:highlight w:val="none"/>
        </w:rPr>
        <w:t>应用日志内容的生成应有比较明确的规范。应该至少包括以下内容：交易时间，交易类型，用户输入信息，程序响应信息，交易结果，报错信息等，能够快速定位错误点，错误信息详细。日志应有相应的备份和清理机制。</w:t>
      </w:r>
    </w:p>
    <w:p>
      <w:pPr>
        <w:pStyle w:val="5"/>
        <w:numPr>
          <w:ilvl w:val="3"/>
          <w:numId w:val="0"/>
        </w:numPr>
        <w:tabs>
          <w:tab w:val="left" w:pos="864"/>
        </w:tabs>
        <w:ind w:left="851" w:hanging="851"/>
        <w:rPr>
          <w:rFonts w:ascii="黑体" w:eastAsia="黑体"/>
          <w:b w:val="0"/>
          <w:color w:val="000000" w:themeColor="text1"/>
          <w:sz w:val="24"/>
          <w:szCs w:val="24"/>
          <w:highlight w:val="none"/>
        </w:rPr>
      </w:pPr>
      <w:r>
        <w:rPr>
          <w:rFonts w:hint="eastAsia" w:ascii="黑体" w:eastAsia="黑体"/>
          <w:b w:val="0"/>
          <w:color w:val="000000" w:themeColor="text1"/>
          <w:sz w:val="24"/>
          <w:szCs w:val="24"/>
          <w:highlight w:val="none"/>
        </w:rPr>
        <w:t>监控要求</w:t>
      </w:r>
    </w:p>
    <w:p>
      <w:pPr>
        <w:pStyle w:val="163"/>
        <w:spacing w:before="100" w:beforeAutospacing="1" w:after="100" w:afterAutospacing="1"/>
        <w:rPr>
          <w:rFonts w:eastAsia="仿宋_GB2312"/>
          <w:color w:val="000000" w:themeColor="text1"/>
          <w:kern w:val="2"/>
          <w:sz w:val="24"/>
          <w:szCs w:val="24"/>
          <w:highlight w:val="none"/>
        </w:rPr>
      </w:pPr>
      <w:r>
        <w:rPr>
          <w:rFonts w:hint="eastAsia" w:eastAsia="仿宋_GB2312"/>
          <w:color w:val="000000" w:themeColor="text1"/>
          <w:kern w:val="2"/>
          <w:sz w:val="24"/>
          <w:szCs w:val="24"/>
          <w:highlight w:val="none"/>
        </w:rPr>
        <w:t>平台提供交易监控模块，方便运维人员查看系统运行情况，迅速捕捉到系统异常，包括系统信息监控、运行统计监控、应用信息监控、日志信息监控等。能够和短信平台对接，及时向相关人员发送通知；根据行内监控平台要求，提供系统运行情况数据，便于统一监控管理。</w:t>
      </w:r>
    </w:p>
    <w:p>
      <w:pPr>
        <w:spacing w:line="360" w:lineRule="auto"/>
        <w:ind w:firstLine="420"/>
        <w:rPr>
          <w:rFonts w:ascii="仿宋_GB2312" w:hAnsi="宋体" w:eastAsia="仿宋_GB2312"/>
          <w:bCs/>
          <w:color w:val="000000" w:themeColor="text1"/>
          <w:sz w:val="24"/>
          <w:szCs w:val="24"/>
          <w:highlight w:val="none"/>
        </w:rPr>
      </w:pPr>
    </w:p>
    <w:p>
      <w:pPr>
        <w:pStyle w:val="2"/>
        <w:spacing w:before="340" w:after="330" w:line="578" w:lineRule="auto"/>
        <w:ind w:left="425" w:hanging="425" w:firstLineChars="0"/>
        <w:rPr>
          <w:rFonts w:ascii="黑体"/>
          <w:b w:val="0"/>
          <w:color w:val="000000" w:themeColor="text1"/>
          <w:sz w:val="24"/>
          <w:szCs w:val="24"/>
          <w:highlight w:val="none"/>
        </w:rPr>
      </w:pPr>
      <w:bookmarkStart w:id="275" w:name="_Toc5137448"/>
      <w:r>
        <w:rPr>
          <w:rFonts w:hint="eastAsia" w:ascii="黑体"/>
          <w:b w:val="0"/>
          <w:color w:val="000000" w:themeColor="text1"/>
          <w:sz w:val="24"/>
          <w:szCs w:val="24"/>
          <w:highlight w:val="none"/>
        </w:rPr>
        <w:t>其他需求</w:t>
      </w:r>
      <w:bookmarkEnd w:id="275"/>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76" w:name="_Toc5137449"/>
      <w:r>
        <w:rPr>
          <w:rFonts w:hint="eastAsia" w:ascii="黑体"/>
          <w:b w:val="0"/>
          <w:color w:val="000000" w:themeColor="text1"/>
          <w:sz w:val="24"/>
          <w:szCs w:val="24"/>
          <w:highlight w:val="none"/>
        </w:rPr>
        <w:t>版本要求</w:t>
      </w:r>
      <w:bookmarkEnd w:id="276"/>
    </w:p>
    <w:p>
      <w:pPr>
        <w:ind w:firstLine="420"/>
        <w:rPr>
          <w:rFonts w:eastAsia="仿宋_GB2312"/>
          <w:color w:val="000000" w:themeColor="text1"/>
          <w:sz w:val="24"/>
          <w:szCs w:val="24"/>
          <w:highlight w:val="none"/>
        </w:rPr>
      </w:pPr>
      <w:r>
        <w:rPr>
          <w:rFonts w:hint="eastAsia" w:eastAsia="仿宋_GB2312"/>
          <w:color w:val="000000" w:themeColor="text1"/>
          <w:sz w:val="24"/>
          <w:szCs w:val="24"/>
          <w:highlight w:val="none"/>
        </w:rPr>
        <w:t>提供给重庆银行移动展业平台的生产版本的源代码必须保存到重庆银行指定的版本管理服务器上，必须按照行方的要求，</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77" w:name="_Toc5137450"/>
      <w:r>
        <w:rPr>
          <w:rFonts w:hint="eastAsia" w:ascii="黑体"/>
          <w:b w:val="0"/>
          <w:color w:val="000000" w:themeColor="text1"/>
          <w:sz w:val="24"/>
          <w:szCs w:val="24"/>
          <w:highlight w:val="none"/>
        </w:rPr>
        <w:t>项目文档要求</w:t>
      </w:r>
      <w:bookmarkEnd w:id="277"/>
    </w:p>
    <w:p>
      <w:pPr>
        <w:ind w:firstLine="360" w:firstLineChars="150"/>
        <w:rPr>
          <w:rFonts w:eastAsia="仿宋_GB2312"/>
          <w:color w:val="000000" w:themeColor="text1"/>
          <w:sz w:val="24"/>
          <w:szCs w:val="24"/>
          <w:highlight w:val="none"/>
        </w:rPr>
      </w:pPr>
      <w:r>
        <w:rPr>
          <w:rFonts w:hint="eastAsia" w:eastAsia="仿宋_GB2312"/>
          <w:color w:val="000000" w:themeColor="text1"/>
          <w:sz w:val="24"/>
          <w:szCs w:val="24"/>
          <w:highlight w:val="none"/>
        </w:rPr>
        <w:t>实施厂商应按照行方对项目文档的要求，按时、保质提供项目文档，实施过程中如存在项目文档不全、内容不准确的情况，实施厂商应在行方人员指导下完善文档。</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78" w:name="_Toc5137451"/>
      <w:r>
        <w:rPr>
          <w:rFonts w:hint="eastAsia" w:ascii="黑体"/>
          <w:b w:val="0"/>
          <w:color w:val="000000" w:themeColor="text1"/>
          <w:sz w:val="24"/>
          <w:szCs w:val="24"/>
          <w:highlight w:val="none"/>
        </w:rPr>
        <w:t>知识产权</w:t>
      </w:r>
      <w:bookmarkEnd w:id="278"/>
    </w:p>
    <w:p>
      <w:pPr>
        <w:ind w:firstLine="360" w:firstLineChars="150"/>
        <w:rPr>
          <w:rFonts w:eastAsia="仿宋_GB2312"/>
          <w:color w:val="000000" w:themeColor="text1"/>
          <w:sz w:val="24"/>
          <w:szCs w:val="24"/>
          <w:highlight w:val="none"/>
        </w:rPr>
      </w:pPr>
      <w:r>
        <w:rPr>
          <w:rFonts w:hint="eastAsia" w:eastAsia="仿宋_GB2312"/>
          <w:color w:val="000000" w:themeColor="text1"/>
          <w:sz w:val="24"/>
          <w:szCs w:val="24"/>
          <w:highlight w:val="none"/>
        </w:rPr>
        <w:t>外包商应具有独立自主知识产权和相关资格认证，本次项目实施过程中产生的所有客户化部分的源代码知识产权归我行所有；外包商应承诺项目实施过程中所用到的软件、源代码不存在知识产权争议，招标人可以安全、合法的使用；外包商须提供全部源代码（全部源代码包括但不限于产品源代码、客户化源代码、系统平台源代码等，包括底层架构和通讯层的源代码）及源代码说明文档，进行无保留的知识转移，我行拥有永久使用权，并且可在此平台基础上自主开发或交由第三方公司开发，开发成果的知识产权归我行所有；因性能或高可用性方面的要求，系统进行横向扩展时，新部署的系统不存在知识产权争议，无需向外包商支付额外费用。一切因外包商提供的产品引发的知识产权问题由外包商自行承担，我行概不负责，由此产生的所有争议和法律问题，外包商须承担由此造成的所有责任及损失。</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79" w:name="_Toc5137452"/>
      <w:bookmarkStart w:id="280" w:name="_Toc528932340"/>
      <w:r>
        <w:rPr>
          <w:rFonts w:hint="eastAsia" w:ascii="黑体"/>
          <w:b w:val="0"/>
          <w:color w:val="000000" w:themeColor="text1"/>
          <w:sz w:val="24"/>
          <w:szCs w:val="24"/>
          <w:highlight w:val="none"/>
        </w:rPr>
        <w:t>培训</w:t>
      </w:r>
      <w:bookmarkEnd w:id="279"/>
      <w:bookmarkEnd w:id="280"/>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81" w:name="_Toc175468266"/>
      <w:bookmarkStart w:id="282" w:name="_Toc335214812"/>
      <w:bookmarkStart w:id="283" w:name="_Toc335378802"/>
      <w:bookmarkStart w:id="284" w:name="_Toc416779312"/>
      <w:bookmarkStart w:id="285" w:name="_Toc5137453"/>
      <w:r>
        <w:rPr>
          <w:rFonts w:hint="eastAsia" w:ascii="黑体" w:eastAsia="黑体"/>
          <w:b w:val="0"/>
          <w:color w:val="000000" w:themeColor="text1"/>
          <w:sz w:val="24"/>
          <w:szCs w:val="24"/>
          <w:highlight w:val="none"/>
        </w:rPr>
        <w:t>培训内容</w:t>
      </w:r>
      <w:bookmarkEnd w:id="281"/>
      <w:bookmarkEnd w:id="282"/>
      <w:bookmarkEnd w:id="283"/>
      <w:bookmarkEnd w:id="284"/>
      <w:bookmarkEnd w:id="285"/>
    </w:p>
    <w:p>
      <w:pPr>
        <w:tabs>
          <w:tab w:val="left" w:pos="792"/>
          <w:tab w:val="left" w:pos="900"/>
          <w:tab w:val="left" w:pos="1260"/>
        </w:tabs>
        <w:ind w:firstLine="482" w:firstLineChars="200"/>
        <w:rPr>
          <w:rFonts w:eastAsia="仿宋_GB2312"/>
          <w:b/>
          <w:color w:val="000000" w:themeColor="text1"/>
          <w:sz w:val="24"/>
          <w:szCs w:val="24"/>
          <w:highlight w:val="none"/>
        </w:rPr>
      </w:pPr>
      <w:r>
        <w:rPr>
          <w:rFonts w:hint="eastAsia" w:eastAsia="仿宋_GB2312"/>
          <w:b/>
          <w:color w:val="000000" w:themeColor="text1"/>
          <w:sz w:val="24"/>
          <w:szCs w:val="24"/>
          <w:highlight w:val="none"/>
        </w:rPr>
        <w:t>系统管理培训</w:t>
      </w:r>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对应用软件的管理和维护。经过培训要求系统维护人员掌握应用系统业务方面常用的维护、设置内容，应用系统维护例如管理配置、资源配置等有关内容。</w:t>
      </w:r>
    </w:p>
    <w:p>
      <w:pPr>
        <w:tabs>
          <w:tab w:val="left" w:pos="792"/>
          <w:tab w:val="left" w:pos="900"/>
          <w:tab w:val="left" w:pos="1260"/>
        </w:tabs>
        <w:spacing w:beforeLines="50"/>
        <w:ind w:firstLine="482" w:firstLineChars="200"/>
        <w:rPr>
          <w:rFonts w:eastAsia="仿宋_GB2312"/>
          <w:b/>
          <w:color w:val="000000" w:themeColor="text1"/>
          <w:sz w:val="24"/>
          <w:szCs w:val="24"/>
          <w:highlight w:val="none"/>
        </w:rPr>
      </w:pPr>
      <w:r>
        <w:rPr>
          <w:rFonts w:hint="eastAsia" w:eastAsia="仿宋_GB2312"/>
          <w:b/>
          <w:color w:val="000000" w:themeColor="text1"/>
          <w:sz w:val="24"/>
          <w:szCs w:val="24"/>
          <w:highlight w:val="none"/>
        </w:rPr>
        <w:t>开发技术培训</w:t>
      </w:r>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系统开发培训使被培训人员基本掌握系统架构关联的常用应用技术，将力求使被培训人较全面理解软件工程思想，掌握系统建设中所需的开发工具和其他各种关联的应用技术，能够对应用系统进行较高程度的辅助和二次开发。</w:t>
      </w:r>
    </w:p>
    <w:p>
      <w:pPr>
        <w:tabs>
          <w:tab w:val="left" w:pos="792"/>
          <w:tab w:val="left" w:pos="900"/>
          <w:tab w:val="left" w:pos="1260"/>
        </w:tabs>
        <w:spacing w:beforeLines="50"/>
        <w:ind w:firstLine="482" w:firstLineChars="200"/>
        <w:rPr>
          <w:rFonts w:eastAsia="仿宋_GB2312"/>
          <w:b/>
          <w:color w:val="000000" w:themeColor="text1"/>
          <w:sz w:val="24"/>
          <w:szCs w:val="24"/>
          <w:highlight w:val="none"/>
        </w:rPr>
      </w:pPr>
      <w:r>
        <w:rPr>
          <w:rFonts w:hint="eastAsia" w:eastAsia="仿宋_GB2312"/>
          <w:b/>
          <w:color w:val="000000" w:themeColor="text1"/>
          <w:sz w:val="24"/>
          <w:szCs w:val="24"/>
          <w:highlight w:val="none"/>
        </w:rPr>
        <w:t>系统操作培训</w:t>
      </w:r>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系统操作培训指对本系统各类操作使用知识的培训，经过培训要求掌握移动展业平台的操作使用方法。整个培训采用集中培训的方式对所有应用该系统的人员进行培训，具体培训视行内的安排而定。该部分工作由实施厂商配合行内技术和业务人员进行。</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86" w:name="_Toc5137454"/>
      <w:r>
        <w:rPr>
          <w:rFonts w:hint="eastAsia" w:ascii="黑体" w:eastAsia="黑体"/>
          <w:b w:val="0"/>
          <w:color w:val="000000" w:themeColor="text1"/>
          <w:sz w:val="24"/>
          <w:szCs w:val="24"/>
          <w:highlight w:val="none"/>
        </w:rPr>
        <w:t>培训对象</w:t>
      </w:r>
      <w:bookmarkEnd w:id="286"/>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项目实施的培训计划包含以下有不同知识需求的对象组和差异化的培训内容：</w:t>
      </w:r>
    </w:p>
    <w:tbl>
      <w:tblPr>
        <w:tblStyle w:val="55"/>
        <w:tblW w:w="8498"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126"/>
        <w:gridCol w:w="6372"/>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rPr>
          <w:tblHeader/>
        </w:trPr>
        <w:tc>
          <w:tcPr>
            <w:tcW w:w="2126" w:type="dxa"/>
            <w:tcBorders>
              <w:top w:val="single" w:color="auto" w:sz="4" w:space="0"/>
              <w:bottom w:val="dotted" w:color="auto" w:sz="4" w:space="0"/>
            </w:tcBorders>
            <w:shd w:val="clear" w:color="auto" w:fill="333333"/>
          </w:tcPr>
          <w:p>
            <w:pPr>
              <w:spacing w:line="360" w:lineRule="auto"/>
              <w:jc w:val="center"/>
              <w:rPr>
                <w:rFonts w:ascii="Arial" w:hAnsi="Arial" w:cs="Arial"/>
                <w:b/>
                <w:color w:val="000000" w:themeColor="text1"/>
                <w:sz w:val="24"/>
                <w:szCs w:val="24"/>
                <w:highlight w:val="none"/>
              </w:rPr>
            </w:pPr>
            <w:r>
              <w:rPr>
                <w:rFonts w:hint="eastAsia" w:ascii="Arial" w:hAnsi="Arial" w:cs="Arial"/>
                <w:b/>
                <w:color w:val="000000" w:themeColor="text1"/>
                <w:sz w:val="24"/>
                <w:szCs w:val="24"/>
                <w:highlight w:val="none"/>
              </w:rPr>
              <w:t>目标对象</w:t>
            </w:r>
          </w:p>
        </w:tc>
        <w:tc>
          <w:tcPr>
            <w:tcW w:w="6372" w:type="dxa"/>
            <w:tcBorders>
              <w:top w:val="single" w:color="auto" w:sz="4" w:space="0"/>
              <w:bottom w:val="dotted" w:color="auto" w:sz="4" w:space="0"/>
            </w:tcBorders>
            <w:shd w:val="clear" w:color="auto" w:fill="333333"/>
          </w:tcPr>
          <w:p>
            <w:pPr>
              <w:spacing w:line="360" w:lineRule="auto"/>
              <w:jc w:val="center"/>
              <w:rPr>
                <w:rFonts w:ascii="Arial" w:hAnsi="Arial" w:cs="Arial"/>
                <w:b/>
                <w:color w:val="000000" w:themeColor="text1"/>
                <w:sz w:val="24"/>
                <w:szCs w:val="24"/>
                <w:highlight w:val="none"/>
              </w:rPr>
            </w:pPr>
            <w:r>
              <w:rPr>
                <w:rFonts w:hint="eastAsia" w:ascii="Arial" w:hAnsi="Arial" w:cs="Arial"/>
                <w:b/>
                <w:color w:val="000000" w:themeColor="text1"/>
                <w:sz w:val="24"/>
                <w:szCs w:val="24"/>
                <w:highlight w:val="none"/>
              </w:rPr>
              <w:t>需求知识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rPr>
          <w:trHeight w:val="1068" w:hRule="atLeast"/>
        </w:trPr>
        <w:tc>
          <w:tcPr>
            <w:tcW w:w="2126" w:type="dxa"/>
            <w:tcBorders>
              <w:top w:val="dotted" w:color="auto" w:sz="4" w:space="0"/>
            </w:tcBorders>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高级管理层</w:t>
            </w:r>
          </w:p>
        </w:tc>
        <w:tc>
          <w:tcPr>
            <w:tcW w:w="6372" w:type="dxa"/>
            <w:tcBorders>
              <w:top w:val="dotted" w:color="auto" w:sz="4" w:space="0"/>
            </w:tcBorders>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需要了解整个系统如何运作和业务流程改进；</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对项目管理和实施方法的介绍；</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了解系统的原理和理念以及实施的必要性；</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本系统项目有哪些工作要开展；</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相关部门主管</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属于非经常性系统用户，需要获取汇总分析数据；</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需要学习系统的功能和新业务流程；</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了解本系统实施中各项工作的关联关系和相互影响；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相关业务主管</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负责最终用户的日常管理，需要知道系统如何集成，系统的特性和功能以及新业务流程；</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掌握数据如何体现，决策流程如何变化；</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项目小组成员</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负责为最终用户、推广点的项目实施人员和相关人员提供培训；</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全面掌握系统流程及功能；</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了解解决方案的内容，能够独立进行业务流程的系统演示；</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学会系统的应用设置，以便将来能够脱离实施人员独立进行系统的推广；</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关键用户</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有着较高技能的最终用户，可在日常工作中指导最终用户进行系统操作；</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掌握对口模块的基本功能，能够自己独立完成对口模块的各项操作；</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最终用户</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系统的日常用户，需要学习本系统的概念，如何独立处理日常工作中的事务；</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了解自己的新角色和职责，工作中的新流程和如何纠正错误；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技术及开发人员</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系统整体技术架构</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产品技术平台和二次开发技术</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相关开发语言和工具</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第三方应用软件</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212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系统运行维护人员</w:t>
            </w:r>
          </w:p>
        </w:tc>
        <w:tc>
          <w:tcPr>
            <w:tcW w:w="6372"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本系统所采用的应用环境（软硬件平台）</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系统监控和调试工具</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系统整体技术架构</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系统的安装部署、运行参数设置与维护</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系统日常操作与维护</w:t>
            </w:r>
          </w:p>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系统安全备份</w:t>
            </w:r>
          </w:p>
        </w:tc>
      </w:tr>
    </w:tbl>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为了确认培训人员数量和培训需求，必须进行详细的培训需求分析。在系统角色定义后再确定具体的培训内容和时间。</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87" w:name="_Toc5137455"/>
      <w:r>
        <w:rPr>
          <w:rFonts w:hint="eastAsia" w:ascii="黑体" w:eastAsia="黑体"/>
          <w:b w:val="0"/>
          <w:color w:val="000000" w:themeColor="text1"/>
          <w:sz w:val="24"/>
          <w:szCs w:val="24"/>
          <w:highlight w:val="none"/>
        </w:rPr>
        <w:t>培训方式</w:t>
      </w:r>
      <w:bookmarkEnd w:id="287"/>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为确保成功的技能转移，我们将采用如下几种培训方式：</w:t>
      </w:r>
    </w:p>
    <w:tbl>
      <w:tblPr>
        <w:tblStyle w:val="55"/>
        <w:tblW w:w="8431" w:type="dxa"/>
        <w:tblInd w:w="25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46"/>
        <w:gridCol w:w="6785"/>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Borders>
              <w:top w:val="single" w:color="auto" w:sz="4" w:space="0"/>
              <w:bottom w:val="dotted" w:color="auto" w:sz="4" w:space="0"/>
            </w:tcBorders>
            <w:shd w:val="clear" w:color="auto" w:fill="333333"/>
          </w:tcPr>
          <w:p>
            <w:pPr>
              <w:spacing w:line="360" w:lineRule="auto"/>
              <w:rPr>
                <w:rFonts w:ascii="Arial" w:hAnsi="Arial" w:cs="Arial"/>
                <w:b/>
                <w:color w:val="000000" w:themeColor="text1"/>
                <w:sz w:val="24"/>
                <w:szCs w:val="24"/>
                <w:highlight w:val="none"/>
              </w:rPr>
            </w:pPr>
            <w:r>
              <w:rPr>
                <w:rFonts w:hint="eastAsia" w:ascii="Arial" w:hAnsi="Arial" w:cs="Arial"/>
                <w:b/>
                <w:color w:val="000000" w:themeColor="text1"/>
                <w:sz w:val="24"/>
                <w:szCs w:val="24"/>
                <w:highlight w:val="none"/>
              </w:rPr>
              <w:t>培训方式</w:t>
            </w:r>
          </w:p>
        </w:tc>
        <w:tc>
          <w:tcPr>
            <w:tcW w:w="6785" w:type="dxa"/>
            <w:tcBorders>
              <w:top w:val="single" w:color="auto" w:sz="4" w:space="0"/>
              <w:bottom w:val="dotted" w:color="auto" w:sz="4" w:space="0"/>
            </w:tcBorders>
            <w:shd w:val="clear" w:color="auto" w:fill="333333"/>
          </w:tcPr>
          <w:p>
            <w:pPr>
              <w:spacing w:line="360" w:lineRule="auto"/>
              <w:rPr>
                <w:rFonts w:ascii="Arial" w:hAnsi="Arial" w:cs="Arial"/>
                <w:b/>
                <w:color w:val="000000" w:themeColor="text1"/>
                <w:sz w:val="24"/>
                <w:szCs w:val="24"/>
                <w:highlight w:val="none"/>
              </w:rPr>
            </w:pPr>
            <w:r>
              <w:rPr>
                <w:rFonts w:hint="eastAsia" w:ascii="Arial" w:hAnsi="Arial" w:cs="Arial"/>
                <w:b/>
                <w:color w:val="000000" w:themeColor="text1"/>
                <w:sz w:val="24"/>
                <w:szCs w:val="24"/>
                <w:highlight w:val="none"/>
              </w:rPr>
              <w:t>培训内容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Borders>
              <w:top w:val="dotted" w:color="auto" w:sz="4" w:space="0"/>
            </w:tcBorders>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课堂培训</w:t>
            </w:r>
          </w:p>
        </w:tc>
        <w:tc>
          <w:tcPr>
            <w:tcW w:w="6785" w:type="dxa"/>
            <w:tcBorders>
              <w:top w:val="dotted" w:color="auto" w:sz="4" w:space="0"/>
            </w:tcBorders>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针对各种专题开设培训课程，如项目管理、实施方法及系统各模块核心功能等，通常安排在相关任务开始之初，以使各参与人员能具备完成相关任务的基本技能。</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在职培训</w:t>
            </w:r>
          </w:p>
        </w:tc>
        <w:tc>
          <w:tcPr>
            <w:tcW w:w="6785"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通过课堂培训所获得的基础知识需经过实际工作中的不断应用和反复锤炼才能被充分吸收，并达到可举一反三、熟练应用的境界。实施厂商应通过联合工作的方式，协助客户方的用户解决实际应用中的问题，不断深化所学的知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交付文档</w:t>
            </w:r>
          </w:p>
          <w:p>
            <w:pPr>
              <w:spacing w:line="360" w:lineRule="auto"/>
              <w:rPr>
                <w:rFonts w:ascii="Arial" w:hAnsi="Arial" w:cs="Arial"/>
                <w:color w:val="000000" w:themeColor="text1"/>
                <w:sz w:val="24"/>
                <w:szCs w:val="24"/>
                <w:highlight w:val="none"/>
              </w:rPr>
            </w:pPr>
          </w:p>
        </w:tc>
        <w:tc>
          <w:tcPr>
            <w:tcW w:w="6785"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项目实施过程中交付的一系列文档也是技能转移必不可少的媒体。这些文档可作为日后进一步培训或推广的重要参考。为确保项目成果存档，并为今后客户方后续自我支持提供模板。</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讲座研讨</w:t>
            </w:r>
          </w:p>
        </w:tc>
        <w:tc>
          <w:tcPr>
            <w:tcW w:w="6785"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组织讨论会或讲座，由实施厂商的人员通过这种互动方式，与客户方讨论有关内部管理、流程等方面的内容。在项目进展中的各类研讨会有：</w:t>
            </w:r>
          </w:p>
          <w:p>
            <w:pPr>
              <w:numPr>
                <w:ilvl w:val="0"/>
                <w:numId w:val="26"/>
              </w:num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业务流程改进和应用系统配置的研讨会；</w:t>
            </w:r>
          </w:p>
          <w:p>
            <w:pPr>
              <w:numPr>
                <w:ilvl w:val="0"/>
                <w:numId w:val="26"/>
              </w:num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原型测试</w:t>
            </w:r>
            <w:r>
              <w:rPr>
                <w:rFonts w:ascii="Arial" w:hAnsi="Arial" w:cs="Arial"/>
                <w:color w:val="000000" w:themeColor="text1"/>
                <w:sz w:val="24"/>
                <w:szCs w:val="24"/>
                <w:highlight w:val="none"/>
              </w:rPr>
              <w:t>(CRP)</w:t>
            </w:r>
            <w:r>
              <w:rPr>
                <w:rFonts w:hint="eastAsia" w:ascii="Arial" w:hAnsi="Arial" w:cs="Arial"/>
                <w:color w:val="000000" w:themeColor="text1"/>
                <w:sz w:val="24"/>
                <w:szCs w:val="24"/>
                <w:highlight w:val="none"/>
              </w:rPr>
              <w:t>和用户接受测试</w:t>
            </w:r>
            <w:r>
              <w:rPr>
                <w:rFonts w:ascii="Arial" w:hAnsi="Arial" w:cs="Arial"/>
                <w:color w:val="000000" w:themeColor="text1"/>
                <w:sz w:val="24"/>
                <w:szCs w:val="24"/>
                <w:highlight w:val="none"/>
              </w:rPr>
              <w:t>(UAT)</w:t>
            </w:r>
            <w:r>
              <w:rPr>
                <w:rFonts w:hint="eastAsia" w:ascii="Arial" w:hAnsi="Arial" w:cs="Arial"/>
                <w:color w:val="000000" w:themeColor="text1"/>
                <w:sz w:val="24"/>
                <w:szCs w:val="24"/>
                <w:highlight w:val="none"/>
              </w:rPr>
              <w:t>；</w:t>
            </w:r>
          </w:p>
          <w:p>
            <w:pPr>
              <w:numPr>
                <w:ilvl w:val="0"/>
                <w:numId w:val="26"/>
              </w:num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运作流程规范制定研讨会；</w:t>
            </w:r>
          </w:p>
          <w:p>
            <w:pPr>
              <w:numPr>
                <w:ilvl w:val="0"/>
                <w:numId w:val="26"/>
              </w:num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推广方法研讨会。</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c>
          <w:tcPr>
            <w:tcW w:w="1646"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一对一培训</w:t>
            </w:r>
          </w:p>
        </w:tc>
        <w:tc>
          <w:tcPr>
            <w:tcW w:w="6785" w:type="dxa"/>
          </w:tcPr>
          <w:p>
            <w:pPr>
              <w:spacing w:line="360" w:lineRule="auto"/>
              <w:rPr>
                <w:rFonts w:ascii="Arial" w:hAnsi="Arial" w:cs="Arial"/>
                <w:color w:val="000000" w:themeColor="text1"/>
                <w:sz w:val="24"/>
                <w:szCs w:val="24"/>
                <w:highlight w:val="none"/>
              </w:rPr>
            </w:pPr>
            <w:r>
              <w:rPr>
                <w:rFonts w:hint="eastAsia" w:ascii="Arial" w:hAnsi="Arial" w:cs="Arial"/>
                <w:color w:val="000000" w:themeColor="text1"/>
                <w:sz w:val="24"/>
                <w:szCs w:val="24"/>
                <w:highlight w:val="none"/>
              </w:rPr>
              <w:t>对选出的客户进行特定业务功能的辅导</w:t>
            </w:r>
          </w:p>
        </w:tc>
      </w:tr>
    </w:tbl>
    <w:p>
      <w:pPr>
        <w:rPr>
          <w:rFonts w:eastAsia="仿宋_GB2312"/>
          <w:color w:val="000000" w:themeColor="text1"/>
          <w:sz w:val="24"/>
          <w:szCs w:val="24"/>
          <w:highlight w:val="none"/>
        </w:rPr>
      </w:pP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88" w:name="_Toc5137456"/>
      <w:bookmarkStart w:id="289" w:name="_Toc528932336"/>
      <w:r>
        <w:rPr>
          <w:rFonts w:hint="eastAsia" w:ascii="黑体"/>
          <w:b w:val="0"/>
          <w:color w:val="000000" w:themeColor="text1"/>
          <w:sz w:val="24"/>
          <w:szCs w:val="24"/>
          <w:highlight w:val="none"/>
        </w:rPr>
        <w:t>建设团队人员要求</w:t>
      </w:r>
      <w:bookmarkEnd w:id="288"/>
      <w:bookmarkEnd w:id="289"/>
    </w:p>
    <w:p>
      <w:pPr>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1</w:t>
      </w:r>
      <w:r>
        <w:rPr>
          <w:rFonts w:hint="eastAsia" w:eastAsia="仿宋_GB2312"/>
          <w:color w:val="000000" w:themeColor="text1"/>
          <w:sz w:val="24"/>
          <w:szCs w:val="24"/>
          <w:highlight w:val="none"/>
        </w:rPr>
        <w:t>）提供完整的项目建设人力资源方案，包括但不限于：在项目建设各阶段投入的人力情况，人员级别或类型，工作量（应与项目建设进度计划中其工作量相吻合）、人员姓名、年龄、职责、学历、专业、以往参与类似项目案例及经验。</w:t>
      </w:r>
    </w:p>
    <w:p>
      <w:pPr>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2</w:t>
      </w:r>
      <w:r>
        <w:rPr>
          <w:rFonts w:hint="eastAsia" w:eastAsia="仿宋_GB2312"/>
          <w:color w:val="000000" w:themeColor="text1"/>
          <w:sz w:val="24"/>
          <w:szCs w:val="24"/>
          <w:highlight w:val="none"/>
        </w:rPr>
        <w:t>）外包商项目建设团队至少包括如下角色：</w:t>
      </w:r>
    </w:p>
    <w:p>
      <w:pPr>
        <w:ind w:firstLine="361" w:firstLineChars="150"/>
        <w:rPr>
          <w:rFonts w:eastAsia="仿宋_GB2312"/>
          <w:color w:val="000000" w:themeColor="text1"/>
          <w:sz w:val="24"/>
          <w:szCs w:val="24"/>
          <w:highlight w:val="none"/>
        </w:rPr>
      </w:pPr>
      <w:r>
        <w:rPr>
          <w:rFonts w:hint="eastAsia" w:eastAsia="仿宋_GB2312"/>
          <w:b/>
          <w:color w:val="000000" w:themeColor="text1"/>
          <w:sz w:val="24"/>
          <w:szCs w:val="24"/>
          <w:highlight w:val="none"/>
        </w:rPr>
        <w:t>项目经理</w:t>
      </w:r>
      <w:r>
        <w:rPr>
          <w:rFonts w:hint="eastAsia" w:eastAsia="仿宋_GB2312"/>
          <w:color w:val="000000" w:themeColor="text1"/>
          <w:sz w:val="24"/>
          <w:szCs w:val="24"/>
          <w:highlight w:val="none"/>
        </w:rPr>
        <w:t>：具有类似项目管理经验</w:t>
      </w:r>
      <w:r>
        <w:rPr>
          <w:rFonts w:eastAsia="仿宋_GB2312"/>
          <w:color w:val="000000" w:themeColor="text1"/>
          <w:sz w:val="24"/>
          <w:szCs w:val="24"/>
          <w:highlight w:val="none"/>
        </w:rPr>
        <w:t>3</w:t>
      </w:r>
      <w:r>
        <w:rPr>
          <w:rFonts w:hint="eastAsia" w:eastAsia="仿宋_GB2312"/>
          <w:color w:val="000000" w:themeColor="text1"/>
          <w:sz w:val="24"/>
          <w:szCs w:val="24"/>
          <w:highlight w:val="none"/>
        </w:rPr>
        <w:t>年以上，从事过项目管理工具建设管理工作，并具有类似项目的开发经验。须全程在重庆银行现场开展项目建设工作，直接对项目建设负责，通过对工期，质量的控制（包括：总体制定、执行、跟踪、调整相关计划，协调项目可用资源）确保项目按要求完成。</w:t>
      </w:r>
    </w:p>
    <w:p>
      <w:pPr>
        <w:ind w:firstLine="361" w:firstLineChars="150"/>
        <w:rPr>
          <w:rFonts w:eastAsia="仿宋_GB2312"/>
          <w:color w:val="000000" w:themeColor="text1"/>
          <w:sz w:val="24"/>
          <w:szCs w:val="24"/>
          <w:highlight w:val="none"/>
        </w:rPr>
      </w:pPr>
      <w:r>
        <w:rPr>
          <w:rFonts w:hint="eastAsia" w:eastAsia="仿宋_GB2312"/>
          <w:b/>
          <w:color w:val="000000" w:themeColor="text1"/>
          <w:sz w:val="24"/>
          <w:szCs w:val="24"/>
          <w:highlight w:val="none"/>
        </w:rPr>
        <w:t>业务分析专家：</w:t>
      </w:r>
      <w:r>
        <w:rPr>
          <w:rFonts w:hint="eastAsia" w:eastAsia="仿宋_GB2312"/>
          <w:color w:val="000000" w:themeColor="text1"/>
          <w:sz w:val="24"/>
          <w:szCs w:val="24"/>
          <w:highlight w:val="none"/>
        </w:rPr>
        <w:t>熟悉移动展业平台的处理流程，近两年完成过</w:t>
      </w:r>
      <w:r>
        <w:rPr>
          <w:rFonts w:eastAsia="仿宋_GB2312"/>
          <w:color w:val="000000" w:themeColor="text1"/>
          <w:sz w:val="24"/>
          <w:szCs w:val="24"/>
          <w:highlight w:val="none"/>
        </w:rPr>
        <w:t>1</w:t>
      </w:r>
      <w:r>
        <w:rPr>
          <w:rFonts w:hint="eastAsia" w:eastAsia="仿宋_GB2312"/>
          <w:color w:val="000000" w:themeColor="text1"/>
          <w:sz w:val="24"/>
          <w:szCs w:val="24"/>
          <w:highlight w:val="none"/>
        </w:rPr>
        <w:t>家及以上银行移动展业平台的业务咨询分析和解决方案提供等工作，协同重庆银行业务人员完成包括：需求分析、需求评审、设计评审、系统操作及业务培训等各项任务，并配合准备测试案例，测试计划、协助完成测试阶段相关工作等。</w:t>
      </w:r>
    </w:p>
    <w:p>
      <w:pPr>
        <w:ind w:firstLine="482" w:firstLineChars="200"/>
        <w:rPr>
          <w:rFonts w:eastAsia="仿宋_GB2312"/>
          <w:color w:val="000000" w:themeColor="text1"/>
          <w:sz w:val="24"/>
          <w:szCs w:val="24"/>
          <w:highlight w:val="none"/>
        </w:rPr>
      </w:pPr>
      <w:r>
        <w:rPr>
          <w:rFonts w:hint="eastAsia" w:eastAsia="仿宋_GB2312"/>
          <w:b/>
          <w:color w:val="000000" w:themeColor="text1"/>
          <w:sz w:val="24"/>
          <w:szCs w:val="24"/>
          <w:highlight w:val="none"/>
        </w:rPr>
        <w:t>测试经理：</w:t>
      </w:r>
      <w:r>
        <w:rPr>
          <w:rFonts w:hint="eastAsia" w:eastAsia="仿宋_GB2312"/>
          <w:color w:val="000000" w:themeColor="text1"/>
          <w:sz w:val="24"/>
          <w:szCs w:val="24"/>
          <w:highlight w:val="none"/>
        </w:rPr>
        <w:t>近两年完成过</w:t>
      </w:r>
      <w:r>
        <w:rPr>
          <w:rFonts w:eastAsia="仿宋_GB2312"/>
          <w:color w:val="000000" w:themeColor="text1"/>
          <w:sz w:val="24"/>
          <w:szCs w:val="24"/>
          <w:highlight w:val="none"/>
        </w:rPr>
        <w:t>1</w:t>
      </w:r>
      <w:r>
        <w:rPr>
          <w:rFonts w:hint="eastAsia" w:eastAsia="仿宋_GB2312"/>
          <w:color w:val="000000" w:themeColor="text1"/>
          <w:sz w:val="24"/>
          <w:szCs w:val="24"/>
          <w:highlight w:val="none"/>
        </w:rPr>
        <w:t>家以上类型项目经验的</w:t>
      </w:r>
      <w:r>
        <w:rPr>
          <w:rFonts w:eastAsia="仿宋_GB2312"/>
          <w:color w:val="000000" w:themeColor="text1"/>
          <w:sz w:val="24"/>
          <w:szCs w:val="24"/>
          <w:highlight w:val="none"/>
        </w:rPr>
        <w:t>SIT</w:t>
      </w:r>
      <w:r>
        <w:rPr>
          <w:rFonts w:hint="eastAsia" w:eastAsia="仿宋_GB2312"/>
          <w:color w:val="000000" w:themeColor="text1"/>
          <w:sz w:val="24"/>
          <w:szCs w:val="24"/>
          <w:highlight w:val="none"/>
        </w:rPr>
        <w:t>集成测试、压力测试等工作，组织测试人员完成相应的测试。</w:t>
      </w:r>
    </w:p>
    <w:p>
      <w:pPr>
        <w:ind w:firstLine="482" w:firstLineChars="200"/>
        <w:rPr>
          <w:rFonts w:eastAsia="仿宋_GB2312"/>
          <w:b/>
          <w:color w:val="000000" w:themeColor="text1"/>
          <w:sz w:val="24"/>
          <w:szCs w:val="24"/>
          <w:highlight w:val="none"/>
        </w:rPr>
      </w:pPr>
      <w:r>
        <w:rPr>
          <w:rFonts w:hint="eastAsia" w:eastAsia="仿宋_GB2312"/>
          <w:b/>
          <w:color w:val="000000" w:themeColor="text1"/>
          <w:sz w:val="24"/>
          <w:szCs w:val="24"/>
          <w:highlight w:val="none"/>
        </w:rPr>
        <w:t>设计师：</w:t>
      </w:r>
      <w:r>
        <w:rPr>
          <w:rFonts w:hint="eastAsia" w:eastAsia="仿宋_GB2312"/>
          <w:color w:val="000000" w:themeColor="text1"/>
          <w:sz w:val="24"/>
          <w:szCs w:val="24"/>
          <w:highlight w:val="none"/>
        </w:rPr>
        <w:t>近两年完成过</w:t>
      </w:r>
      <w:r>
        <w:rPr>
          <w:rFonts w:eastAsia="仿宋_GB2312"/>
          <w:color w:val="000000" w:themeColor="text1"/>
          <w:sz w:val="24"/>
          <w:szCs w:val="24"/>
          <w:highlight w:val="none"/>
        </w:rPr>
        <w:t>2</w:t>
      </w:r>
      <w:r>
        <w:rPr>
          <w:rFonts w:hint="eastAsia" w:eastAsia="仿宋_GB2312"/>
          <w:color w:val="000000" w:themeColor="text1"/>
          <w:sz w:val="24"/>
          <w:szCs w:val="24"/>
          <w:highlight w:val="none"/>
        </w:rPr>
        <w:t>家以上金融机构的平板、手机的</w:t>
      </w:r>
      <w:r>
        <w:rPr>
          <w:rFonts w:eastAsia="仿宋_GB2312"/>
          <w:color w:val="000000" w:themeColor="text1"/>
          <w:sz w:val="24"/>
          <w:szCs w:val="24"/>
          <w:highlight w:val="none"/>
        </w:rPr>
        <w:t>UI</w:t>
      </w:r>
      <w:r>
        <w:rPr>
          <w:rFonts w:hint="eastAsia" w:eastAsia="仿宋_GB2312"/>
          <w:color w:val="000000" w:themeColor="text1"/>
          <w:sz w:val="24"/>
          <w:szCs w:val="24"/>
          <w:highlight w:val="none"/>
        </w:rPr>
        <w:t>设计，具有相应的设计能力。</w:t>
      </w:r>
    </w:p>
    <w:p>
      <w:pPr>
        <w:tabs>
          <w:tab w:val="left" w:pos="792"/>
          <w:tab w:val="left" w:pos="900"/>
          <w:tab w:val="left" w:pos="1260"/>
        </w:tabs>
        <w:ind w:firstLine="482" w:firstLineChars="200"/>
        <w:rPr>
          <w:rFonts w:eastAsia="仿宋_GB2312"/>
          <w:color w:val="000000" w:themeColor="text1"/>
          <w:sz w:val="24"/>
          <w:szCs w:val="24"/>
          <w:highlight w:val="none"/>
        </w:rPr>
      </w:pPr>
      <w:r>
        <w:rPr>
          <w:rFonts w:hint="eastAsia" w:eastAsia="仿宋_GB2312"/>
          <w:b/>
          <w:color w:val="000000" w:themeColor="text1"/>
          <w:sz w:val="24"/>
          <w:szCs w:val="24"/>
          <w:highlight w:val="none"/>
        </w:rPr>
        <w:t>开发人员</w:t>
      </w:r>
      <w:r>
        <w:rPr>
          <w:rFonts w:hint="eastAsia" w:eastAsia="仿宋_GB2312"/>
          <w:color w:val="000000" w:themeColor="text1"/>
          <w:sz w:val="24"/>
          <w:szCs w:val="24"/>
          <w:highlight w:val="none"/>
        </w:rPr>
        <w:t>：具有类似项目建设经验</w:t>
      </w:r>
      <w:r>
        <w:rPr>
          <w:rFonts w:eastAsia="仿宋_GB2312"/>
          <w:color w:val="000000" w:themeColor="text1"/>
          <w:sz w:val="24"/>
          <w:szCs w:val="24"/>
          <w:highlight w:val="none"/>
        </w:rPr>
        <w:t>2</w:t>
      </w:r>
      <w:r>
        <w:rPr>
          <w:rFonts w:hint="eastAsia" w:eastAsia="仿宋_GB2312"/>
          <w:color w:val="000000" w:themeColor="text1"/>
          <w:sz w:val="24"/>
          <w:szCs w:val="24"/>
          <w:highlight w:val="none"/>
        </w:rPr>
        <w:t>年以上，参与项目各个阶段的工作。要求具备在银行交易平台上进行开发、实施的能力。设计开发人员必须熟悉项目管理工具建设、具备业务设计、开发能力、产品二次开发、数据库及所使用的开发语言的经验。</w:t>
      </w:r>
    </w:p>
    <w:p>
      <w:pPr>
        <w:pStyle w:val="4"/>
        <w:numPr>
          <w:ilvl w:val="2"/>
          <w:numId w:val="0"/>
        </w:numPr>
        <w:tabs>
          <w:tab w:val="clear" w:pos="1418"/>
        </w:tabs>
        <w:ind w:left="709" w:hanging="709"/>
        <w:rPr>
          <w:rFonts w:ascii="黑体" w:eastAsia="黑体"/>
          <w:b w:val="0"/>
          <w:color w:val="000000" w:themeColor="text1"/>
          <w:sz w:val="24"/>
          <w:szCs w:val="24"/>
          <w:highlight w:val="none"/>
        </w:rPr>
      </w:pPr>
      <w:bookmarkStart w:id="290" w:name="_Toc5137457"/>
      <w:r>
        <w:rPr>
          <w:rFonts w:hint="eastAsia" w:ascii="黑体" w:eastAsia="黑体"/>
          <w:b w:val="0"/>
          <w:color w:val="000000" w:themeColor="text1"/>
          <w:sz w:val="24"/>
          <w:szCs w:val="24"/>
          <w:highlight w:val="none"/>
        </w:rPr>
        <w:t>保密要求</w:t>
      </w:r>
      <w:bookmarkEnd w:id="290"/>
    </w:p>
    <w:p>
      <w:pPr>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实施商及其服务人员须遵守我方工作制度，特别是有关信息科技风险制度和流程，实施商在本合同签订或履行过程中所接触到的我方的保密信息，包括但不限于知识产权信息、技术资料、技术诀窍、业务经营信息、内部管理方法、内部规章制度以及其他应保密信息，负有保密义务。实施商及其服务人员应按我方要求签订保密协议或个人服务承诺。</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91" w:name="_Toc528932337"/>
      <w:bookmarkStart w:id="292" w:name="_Toc5137458"/>
      <w:r>
        <w:rPr>
          <w:rFonts w:hint="eastAsia" w:ascii="黑体"/>
          <w:b w:val="0"/>
          <w:color w:val="000000" w:themeColor="text1"/>
          <w:sz w:val="24"/>
          <w:szCs w:val="24"/>
          <w:highlight w:val="none"/>
        </w:rPr>
        <w:t>系统对二次开发的支持</w:t>
      </w:r>
      <w:bookmarkEnd w:id="291"/>
      <w:bookmarkEnd w:id="292"/>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重庆银行数字化金融移动展业平台的实施厂商应提供对应的二次开发手册，包含整套二次开发支持，入门开发人员仅需按照相应的手册即可完成基本的开发工作。</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93" w:name="_Toc528932338"/>
      <w:bookmarkStart w:id="294" w:name="_Toc5137459"/>
      <w:r>
        <w:rPr>
          <w:rFonts w:hint="eastAsia" w:ascii="黑体"/>
          <w:b w:val="0"/>
          <w:color w:val="000000" w:themeColor="text1"/>
          <w:sz w:val="24"/>
          <w:szCs w:val="24"/>
          <w:highlight w:val="none"/>
        </w:rPr>
        <w:t>系统版本</w:t>
      </w:r>
      <w:bookmarkEnd w:id="293"/>
      <w:bookmarkEnd w:id="294"/>
    </w:p>
    <w:p>
      <w:pPr>
        <w:tabs>
          <w:tab w:val="left" w:pos="792"/>
          <w:tab w:val="left" w:pos="900"/>
          <w:tab w:val="left" w:pos="1260"/>
        </w:tabs>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提供给我行的平台必须是实施厂商开发的最新基线的稳定版本。</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95" w:name="_Toc5137460"/>
      <w:bookmarkStart w:id="296" w:name="_Toc528932341"/>
      <w:r>
        <w:rPr>
          <w:rFonts w:hint="eastAsia" w:ascii="黑体"/>
          <w:b w:val="0"/>
          <w:color w:val="000000" w:themeColor="text1"/>
          <w:sz w:val="24"/>
          <w:szCs w:val="24"/>
          <w:highlight w:val="none"/>
        </w:rPr>
        <w:t>交付物要求</w:t>
      </w:r>
      <w:bookmarkEnd w:id="295"/>
      <w:bookmarkEnd w:id="296"/>
    </w:p>
    <w:p>
      <w:pPr>
        <w:ind w:firstLine="480" w:firstLineChars="200"/>
        <w:rPr>
          <w:rFonts w:eastAsia="仿宋_GB2312"/>
          <w:color w:val="000000" w:themeColor="text1"/>
          <w:sz w:val="24"/>
          <w:szCs w:val="24"/>
          <w:highlight w:val="none"/>
        </w:rPr>
      </w:pPr>
      <w:r>
        <w:rPr>
          <w:rFonts w:hint="eastAsia" w:eastAsia="仿宋_GB2312"/>
          <w:color w:val="000000" w:themeColor="text1"/>
          <w:sz w:val="24"/>
          <w:szCs w:val="24"/>
          <w:highlight w:val="none"/>
        </w:rPr>
        <w:t>实施方需按照我行项目管理要求，提供项目建设过程中的所有相关文档，包括工程管理类文档和项目管理类文档，如遵循的开发方法、需求规格说明书、详细设计文档、数据字典、应用规范、操作文档、测试相关文档、应用部署文档、投产方案、培训文档、项目计划、项目周报、会议纪要、评审表、项目总结等，并在投标文件中明确交付物名称、提交阶段、完成时间、交付物概要内容等。</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97" w:name="_Toc528932342"/>
      <w:bookmarkStart w:id="298" w:name="_Toc5137461"/>
      <w:r>
        <w:rPr>
          <w:rFonts w:hint="eastAsia" w:ascii="黑体"/>
          <w:b w:val="0"/>
          <w:color w:val="000000" w:themeColor="text1"/>
          <w:sz w:val="24"/>
          <w:szCs w:val="24"/>
          <w:highlight w:val="none"/>
        </w:rPr>
        <w:t>验收要求</w:t>
      </w:r>
      <w:bookmarkEnd w:id="297"/>
      <w:bookmarkEnd w:id="298"/>
    </w:p>
    <w:p>
      <w:pPr>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1</w:t>
      </w:r>
      <w:r>
        <w:rPr>
          <w:rFonts w:hint="eastAsia" w:eastAsia="仿宋_GB2312"/>
          <w:color w:val="000000" w:themeColor="text1"/>
          <w:sz w:val="24"/>
          <w:szCs w:val="24"/>
          <w:highlight w:val="none"/>
        </w:rPr>
        <w:t>）系统第一批功能完成上线投产后，经我方确认能够达到本次项目的上线验收标准则为验收合格，由我方和实施方共同签署正式上线验收报告。</w:t>
      </w:r>
    </w:p>
    <w:p>
      <w:pPr>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2</w:t>
      </w:r>
      <w:r>
        <w:rPr>
          <w:rFonts w:hint="eastAsia" w:eastAsia="仿宋_GB2312"/>
          <w:color w:val="000000" w:themeColor="text1"/>
          <w:sz w:val="24"/>
          <w:szCs w:val="24"/>
          <w:highlight w:val="none"/>
        </w:rPr>
        <w:t>）系统第一批功能完成投产上线平稳运行</w:t>
      </w:r>
      <w:r>
        <w:rPr>
          <w:rFonts w:eastAsia="仿宋_GB2312"/>
          <w:color w:val="000000" w:themeColor="text1"/>
          <w:sz w:val="24"/>
          <w:szCs w:val="24"/>
          <w:highlight w:val="none"/>
        </w:rPr>
        <w:t>6</w:t>
      </w:r>
      <w:r>
        <w:rPr>
          <w:rFonts w:hint="eastAsia" w:eastAsia="仿宋_GB2312"/>
          <w:color w:val="000000" w:themeColor="text1"/>
          <w:sz w:val="24"/>
          <w:szCs w:val="24"/>
          <w:highlight w:val="none"/>
        </w:rPr>
        <w:t>个月以上，且完成所有功能上线后，实施方可向我方提出正式书面最终验收申请，经我方确认能够达到本次项目的最终验收标准则为终验合格，由我方和实施方共同签署正式最终验收报告。</w:t>
      </w:r>
    </w:p>
    <w:p>
      <w:pPr>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3</w:t>
      </w:r>
      <w:r>
        <w:rPr>
          <w:rFonts w:hint="eastAsia" w:eastAsia="仿宋_GB2312"/>
          <w:color w:val="000000" w:themeColor="text1"/>
          <w:sz w:val="24"/>
          <w:szCs w:val="24"/>
          <w:highlight w:val="none"/>
        </w:rPr>
        <w:t>）在项目验收过程中，如果我方认为实施方提供的系统存在重大功能、性能和质量问题不能满足应用及实际要求，或未按照合同及工作说明书约定完成相关工作，或实施方提交的文档资料不全，我方有权拒绝提交验收报告，由此造成的项目延迟责任由实施方承担。</w:t>
      </w:r>
    </w:p>
    <w:p>
      <w:pPr>
        <w:pStyle w:val="3"/>
        <w:numPr>
          <w:ilvl w:val="1"/>
          <w:numId w:val="0"/>
        </w:numPr>
        <w:tabs>
          <w:tab w:val="clear" w:pos="708"/>
        </w:tabs>
        <w:spacing w:before="260" w:after="260" w:line="416" w:lineRule="auto"/>
        <w:ind w:left="567" w:hanging="567"/>
        <w:textAlignment w:val="auto"/>
        <w:rPr>
          <w:rFonts w:ascii="黑体"/>
          <w:b w:val="0"/>
          <w:color w:val="000000" w:themeColor="text1"/>
          <w:sz w:val="24"/>
          <w:szCs w:val="24"/>
          <w:highlight w:val="none"/>
        </w:rPr>
      </w:pPr>
      <w:bookmarkStart w:id="299" w:name="_Toc5137462"/>
      <w:bookmarkStart w:id="300" w:name="_Toc528932343"/>
      <w:r>
        <w:rPr>
          <w:rFonts w:hint="eastAsia" w:ascii="黑体"/>
          <w:b w:val="0"/>
          <w:color w:val="000000" w:themeColor="text1"/>
          <w:sz w:val="24"/>
          <w:szCs w:val="24"/>
          <w:highlight w:val="none"/>
        </w:rPr>
        <w:t>项目实施售后服务要求</w:t>
      </w:r>
      <w:bookmarkEnd w:id="299"/>
      <w:bookmarkEnd w:id="300"/>
    </w:p>
    <w:p>
      <w:pPr>
        <w:spacing w:line="360" w:lineRule="auto"/>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1</w:t>
      </w:r>
      <w:r>
        <w:rPr>
          <w:rFonts w:hint="eastAsia" w:eastAsia="仿宋_GB2312"/>
          <w:color w:val="000000" w:themeColor="text1"/>
          <w:sz w:val="24"/>
          <w:szCs w:val="24"/>
          <w:highlight w:val="none"/>
        </w:rPr>
        <w:t>）实施方须具有稳定的、经验丰富的维保服务团队，有完善的售后服务体系，有较好的本地化服务支持。实施方应在未来投标文件中就免费维护期内、免费维保服务期后提供全面、完整的维保服务方案。</w:t>
      </w:r>
    </w:p>
    <w:p>
      <w:pPr>
        <w:spacing w:line="360" w:lineRule="auto"/>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w:t>
      </w:r>
      <w:r>
        <w:rPr>
          <w:rFonts w:eastAsia="仿宋_GB2312"/>
          <w:color w:val="000000" w:themeColor="text1"/>
          <w:sz w:val="24"/>
          <w:szCs w:val="24"/>
          <w:highlight w:val="none"/>
        </w:rPr>
        <w:t>2</w:t>
      </w:r>
      <w:r>
        <w:rPr>
          <w:rFonts w:hint="eastAsia" w:eastAsia="仿宋_GB2312"/>
          <w:color w:val="000000" w:themeColor="text1"/>
          <w:sz w:val="24"/>
          <w:szCs w:val="24"/>
          <w:highlight w:val="none"/>
        </w:rPr>
        <w:t>）实施方须实现全年</w:t>
      </w:r>
      <w:r>
        <w:rPr>
          <w:rFonts w:eastAsia="仿宋_GB2312"/>
          <w:color w:val="000000" w:themeColor="text1"/>
          <w:sz w:val="24"/>
          <w:szCs w:val="24"/>
          <w:highlight w:val="none"/>
        </w:rPr>
        <w:t>7*24</w:t>
      </w:r>
      <w:r>
        <w:rPr>
          <w:rFonts w:hint="eastAsia" w:eastAsia="仿宋_GB2312"/>
          <w:color w:val="000000" w:themeColor="text1"/>
          <w:sz w:val="24"/>
          <w:szCs w:val="24"/>
          <w:highlight w:val="none"/>
        </w:rPr>
        <w:t>小时的服务，提供至少</w:t>
      </w:r>
      <w:r>
        <w:rPr>
          <w:rFonts w:eastAsia="仿宋_GB2312"/>
          <w:color w:val="000000" w:themeColor="text1"/>
          <w:sz w:val="24"/>
          <w:szCs w:val="24"/>
          <w:highlight w:val="none"/>
        </w:rPr>
        <w:t>1</w:t>
      </w:r>
      <w:r>
        <w:rPr>
          <w:rFonts w:hint="eastAsia" w:eastAsia="仿宋_GB2312"/>
          <w:color w:val="000000" w:themeColor="text1"/>
          <w:sz w:val="24"/>
          <w:szCs w:val="24"/>
          <w:highlight w:val="none"/>
        </w:rPr>
        <w:t>年的免费维护服务期，免费维护服务期间从最终验收双方代表签字之日起计算。在免费服务期内，要求外包公司安排技术人员进行驻场技术支持，及时给出解决问题的建议和操作方法。在免费维保期结束后，外包公司需和重庆银行签订后续维保合同，维护方式为驻场技术支持。</w:t>
      </w:r>
    </w:p>
    <w:p>
      <w:pPr>
        <w:ind w:firstLine="484" w:firstLineChars="202"/>
        <w:rPr>
          <w:rFonts w:eastAsia="仿宋_GB2312"/>
          <w:color w:val="000000" w:themeColor="text1"/>
          <w:sz w:val="24"/>
          <w:szCs w:val="24"/>
          <w:highlight w:val="none"/>
        </w:rPr>
      </w:pPr>
      <w:r>
        <w:rPr>
          <w:rFonts w:hint="eastAsia" w:eastAsia="仿宋_GB2312"/>
          <w:color w:val="000000" w:themeColor="text1"/>
          <w:sz w:val="24"/>
          <w:szCs w:val="24"/>
          <w:highlight w:val="none"/>
        </w:rPr>
        <w:t>（3）维护服务期满后，实施方有义务在本系统的维护，运行管理和开发方面继续给予技术协助和咨询，因涉及技术、硬件等方面影响产品正常使用或出现用户无法自行处理的问题，实施方须提供及时的技术支持。</w:t>
      </w:r>
    </w:p>
    <w:p>
      <w:pPr>
        <w:ind w:firstLine="565" w:firstLineChars="202"/>
        <w:rPr>
          <w:rFonts w:eastAsia="仿宋_GB2312"/>
          <w:color w:val="000000" w:themeColor="text1"/>
          <w:sz w:val="28"/>
          <w:highlight w:val="none"/>
        </w:rPr>
      </w:pPr>
    </w:p>
    <w:p>
      <w:pPr>
        <w:ind w:firstLine="565" w:firstLineChars="202"/>
        <w:rPr>
          <w:rFonts w:eastAsia="仿宋_GB2312"/>
          <w:color w:val="000000" w:themeColor="text1"/>
          <w:sz w:val="28"/>
          <w:highlight w:val="none"/>
        </w:rPr>
      </w:pPr>
    </w:p>
    <w:p>
      <w:pPr>
        <w:rPr>
          <w:rFonts w:eastAsia="仿宋_GB2312"/>
          <w:color w:val="000000" w:themeColor="text1"/>
          <w:sz w:val="28"/>
          <w:highlight w:val="none"/>
        </w:rPr>
      </w:pPr>
    </w:p>
    <w:p>
      <w:pPr>
        <w:rPr>
          <w:rFonts w:eastAsia="仿宋_GB2312"/>
          <w:color w:val="000000" w:themeColor="text1"/>
          <w:sz w:val="28"/>
          <w:highlight w:val="none"/>
        </w:rPr>
      </w:pPr>
    </w:p>
    <w:p>
      <w:pPr>
        <w:spacing w:line="240" w:lineRule="exact"/>
        <w:rPr>
          <w:color w:val="000000" w:themeColor="text1"/>
          <w:highlight w:val="none"/>
        </w:rPr>
      </w:pPr>
    </w:p>
    <w:sectPr>
      <w:footerReference r:id="rId24" w:type="default"/>
      <w:pgSz w:w="11906" w:h="16838"/>
      <w:pgMar w:top="1440" w:right="1797" w:bottom="993"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orbel">
    <w:panose1 w:val="020B0503020204020204"/>
    <w:charset w:val="00"/>
    <w:family w:val="swiss"/>
    <w:pitch w:val="default"/>
    <w:sig w:usb0="A00002EF" w:usb1="4000A44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Style w:val="51"/>
      </w:rPr>
    </w:pPr>
    <w:r>
      <w:pict>
        <v:shape id="_x0000_s2049" o:spid="_x0000_s2049" o:spt="202" type="#_x0000_t202" style="position:absolute;left:0pt;margin-top:0pt;height:17.05pt;width:16.55pt;mso-position-horizontal:center;mso-position-horizontal-relative:margin;z-index:251661312;mso-width-relative:page;mso-height-relative:page;" filled="f" stroked="f" coordsize="21600,21600" o:gfxdata="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qxWR3TAAAAAwEAAA8AAAAA&#10;AAAAAQAgAAAAIgAAAGRycy9kb3ducmV2LnhtbFBLAQIUABQAAAAIAIdO4kAqb6YC4AEAALYDAAAO&#10;AAAAAAAAAAEAIAAAACIBAABkcnMvZTJvRG9jLnhtbFBLBQYAAAAABgAGAFkBAAB0BQAAAAA=&#10;">
          <v:path/>
          <v:fill on="f" focussize="0,0"/>
          <v:stroke on="f" joinstyle="miter"/>
          <v:imagedata o:title=""/>
          <o:lock v:ext="edit"/>
          <v:textbox inset="0mm,0mm,0mm,0mm">
            <w:txbxContent>
              <w:p>
                <w:pPr>
                  <w:pStyle w:val="31"/>
                  <w:rPr>
                    <w:rStyle w:val="51"/>
                  </w:rPr>
                </w:pPr>
                <w:r>
                  <w:rPr>
                    <w:sz w:val="21"/>
                    <w:szCs w:val="21"/>
                  </w:rPr>
                  <w:fldChar w:fldCharType="begin"/>
                </w:r>
                <w:r>
                  <w:rPr>
                    <w:rStyle w:val="51"/>
                  </w:rPr>
                  <w:instrText xml:space="preserve">PAGE  </w:instrText>
                </w:r>
                <w:r>
                  <w:rPr>
                    <w:sz w:val="21"/>
                    <w:szCs w:val="21"/>
                  </w:rPr>
                  <w:fldChar w:fldCharType="separate"/>
                </w:r>
                <w:r>
                  <w:rPr>
                    <w:rStyle w:val="51"/>
                  </w:rPr>
                  <w:t>85</w:t>
                </w:r>
                <w:r>
                  <w:rPr>
                    <w:sz w:val="21"/>
                    <w:szCs w:val="21"/>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93</w:t>
    </w:r>
    <w:r>
      <w:rPr>
        <w:lang w:val="zh-C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866093318"/>
    </w:sdtPr>
    <w:sdtEndPr>
      <w:rPr>
        <w:rFonts w:asciiTheme="minorEastAsia" w:hAnsiTheme="minorEastAsia"/>
      </w:rPr>
    </w:sdtEndPr>
    <w:sdtContent>
      <w:p>
        <w:pPr>
          <w:pStyle w:val="31"/>
          <w:pBdr>
            <w:top w:val="single" w:color="auto" w:sz="4" w:space="1"/>
          </w:pBdr>
          <w:rPr>
            <w:rFonts w:asciiTheme="minorEastAsia" w:hAnsiTheme="minorEastAsia"/>
          </w:rPr>
        </w:pPr>
        <w:r>
          <w:rPr>
            <w:rFonts w:asciiTheme="minorEastAsia" w:hAnsiTheme="minorEastAsia"/>
            <w:i/>
          </w:rPr>
          <w:drawing>
            <wp:anchor distT="0" distB="0" distL="114300" distR="114300" simplePos="0" relativeHeight="251654144" behindDoc="0" locked="0" layoutInCell="1" allowOverlap="1">
              <wp:simplePos x="0" y="0"/>
              <wp:positionH relativeFrom="column">
                <wp:posOffset>-708025</wp:posOffset>
              </wp:positionH>
              <wp:positionV relativeFrom="paragraph">
                <wp:posOffset>60960</wp:posOffset>
              </wp:positionV>
              <wp:extent cx="464185" cy="273050"/>
              <wp:effectExtent l="0" t="0" r="0" b="0"/>
              <wp:wrapSquare wrapText="bothSides"/>
              <wp:docPr id="9" name="图片 9"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24</w:t>
        </w:r>
        <w:r>
          <w:rPr>
            <w:rFonts w:asciiTheme="minorEastAsia" w:hAnsiTheme="minorEastAsia"/>
          </w:rPr>
          <w:fldChar w:fldCharType="end"/>
        </w:r>
      </w:p>
    </w:sdtContent>
  </w:sdt>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rPr>
        <w:rFonts w:asciiTheme="minorEastAsia" w:hAnsiTheme="minorEastAsia"/>
        <w:sz w:val="21"/>
        <w:szCs w:val="21"/>
      </w:rPr>
    </w:pPr>
    <w:r>
      <w:rPr>
        <w:rFonts w:asciiTheme="minorEastAsia" w:hAnsiTheme="minorEastAsia"/>
        <w:i/>
      </w:rPr>
      <w:drawing>
        <wp:anchor distT="0" distB="0" distL="114300" distR="114300" simplePos="0" relativeHeight="251655168" behindDoc="0" locked="0" layoutInCell="1" allowOverlap="1">
          <wp:simplePos x="0" y="0"/>
          <wp:positionH relativeFrom="column">
            <wp:posOffset>-681990</wp:posOffset>
          </wp:positionH>
          <wp:positionV relativeFrom="paragraph">
            <wp:posOffset>46355</wp:posOffset>
          </wp:positionV>
          <wp:extent cx="464185" cy="273050"/>
          <wp:effectExtent l="0" t="0" r="0" b="0"/>
          <wp:wrapSquare wrapText="bothSides"/>
          <wp:docPr id="3" name="图片 3"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197586915"/>
    </w:sdtPr>
    <w:sdtEndPr>
      <w:rPr>
        <w:rFonts w:asciiTheme="minorEastAsia" w:hAnsiTheme="minorEastAsia"/>
      </w:rPr>
    </w:sdtEndPr>
    <w:sdtContent>
      <w:p>
        <w:pPr>
          <w:pStyle w:val="31"/>
          <w:pBdr>
            <w:top w:val="single" w:color="auto" w:sz="4" w:space="1"/>
          </w:pBdr>
          <w:rPr>
            <w:rFonts w:asciiTheme="minorEastAsia" w:hAnsiTheme="minorEastAsia"/>
          </w:rPr>
        </w:pPr>
        <w:r>
          <w:rPr>
            <w:rFonts w:asciiTheme="minorEastAsia" w:hAnsiTheme="minorEastAsia"/>
            <w:i/>
          </w:rPr>
          <w:drawing>
            <wp:anchor distT="0" distB="0" distL="114300" distR="114300" simplePos="0" relativeHeight="251656192" behindDoc="0" locked="0" layoutInCell="1" allowOverlap="1">
              <wp:simplePos x="0" y="0"/>
              <wp:positionH relativeFrom="column">
                <wp:posOffset>-708025</wp:posOffset>
              </wp:positionH>
              <wp:positionV relativeFrom="paragraph">
                <wp:posOffset>60960</wp:posOffset>
              </wp:positionV>
              <wp:extent cx="464185" cy="273050"/>
              <wp:effectExtent l="0" t="0" r="0" b="0"/>
              <wp:wrapSquare wrapText="bothSides"/>
              <wp:docPr id="4" name="图片 4"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52</w:t>
        </w:r>
        <w:r>
          <w:rPr>
            <w:rFonts w:asciiTheme="minorEastAsia" w:hAnsiTheme="minorEastAsia"/>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spacing w:before="120"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rPr>
        <w:rFonts w:asciiTheme="minorEastAsia" w:hAnsiTheme="minorEastAsia"/>
      </w:rPr>
    </w:pPr>
    <w:r>
      <w:rPr>
        <w:rFonts w:asciiTheme="minorEastAsia" w:hAnsiTheme="minorEastAsia"/>
        <w:i/>
      </w:rPr>
      <w:drawing>
        <wp:anchor distT="0" distB="0" distL="114300" distR="114300" simplePos="0" relativeHeight="251657216" behindDoc="0" locked="0" layoutInCell="1" allowOverlap="1">
          <wp:simplePos x="0" y="0"/>
          <wp:positionH relativeFrom="column">
            <wp:posOffset>-648970</wp:posOffset>
          </wp:positionH>
          <wp:positionV relativeFrom="paragraph">
            <wp:posOffset>41910</wp:posOffset>
          </wp:positionV>
          <wp:extent cx="464185" cy="273050"/>
          <wp:effectExtent l="0" t="0" r="0" b="0"/>
          <wp:wrapSquare wrapText="bothSides"/>
          <wp:docPr id="11" name="图片 11"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i/>
      </w:rPr>
      <w:t xml:space="preserve">重庆招标采购（集团）有限责任公司                </w:t>
    </w:r>
    <w:sdt>
      <w:sdtPr>
        <w:rPr>
          <w:rFonts w:asciiTheme="minorEastAsia" w:hAnsiTheme="minorEastAsia"/>
        </w:rPr>
        <w:id w:val="-994487656"/>
      </w:sdtPr>
      <w:sdtEndPr>
        <w:rPr>
          <w:rFonts w:asciiTheme="minorEastAsia" w:hAnsiTheme="minorEastAsia"/>
        </w:rPr>
      </w:sdtEndPr>
      <w:sdtContent>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24</w:t>
        </w:r>
        <w:r>
          <w:rPr>
            <w:rFonts w:asciiTheme="minorEastAsia" w:hAnsiTheme="minorEastAsia"/>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257528447"/>
    </w:sdtPr>
    <w:sdtEndPr>
      <w:rPr>
        <w:rFonts w:asciiTheme="minorEastAsia" w:hAnsiTheme="minorEastAsia"/>
      </w:rPr>
    </w:sdtEndPr>
    <w:sdtContent>
      <w:p>
        <w:pPr>
          <w:pStyle w:val="31"/>
          <w:pBdr>
            <w:top w:val="single" w:color="auto" w:sz="4" w:space="1"/>
          </w:pBdr>
          <w:rPr>
            <w:rFonts w:asciiTheme="minorEastAsia" w:hAnsiTheme="minorEastAsia"/>
          </w:rPr>
        </w:pPr>
        <w:r>
          <w:rPr>
            <w:rFonts w:asciiTheme="minorEastAsia" w:hAnsiTheme="minorEastAsia"/>
            <w:i/>
          </w:rPr>
          <w:drawing>
            <wp:anchor distT="0" distB="0" distL="114300" distR="114300" simplePos="0" relativeHeight="251658240" behindDoc="0" locked="0" layoutInCell="1" allowOverlap="1">
              <wp:simplePos x="0" y="0"/>
              <wp:positionH relativeFrom="column">
                <wp:posOffset>-708025</wp:posOffset>
              </wp:positionH>
              <wp:positionV relativeFrom="paragraph">
                <wp:posOffset>60960</wp:posOffset>
              </wp:positionV>
              <wp:extent cx="464185" cy="273050"/>
              <wp:effectExtent l="0" t="0" r="0" b="0"/>
              <wp:wrapSquare wrapText="bothSides"/>
              <wp:docPr id="12" name="图片 12"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56</w:t>
        </w:r>
        <w:r>
          <w:rPr>
            <w:rFonts w:asciiTheme="minorEastAsia" w:hAnsiTheme="minorEastAsia"/>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rPr>
      <w:id w:val="-1042978080"/>
    </w:sdtPr>
    <w:sdtEndPr>
      <w:rPr>
        <w:rFonts w:asciiTheme="minorEastAsia" w:hAnsiTheme="minorEastAsia"/>
      </w:rPr>
    </w:sdtEndPr>
    <w:sdtContent>
      <w:p>
        <w:pPr>
          <w:pStyle w:val="31"/>
          <w:pBdr>
            <w:top w:val="single" w:color="auto" w:sz="4" w:space="1"/>
          </w:pBdr>
          <w:rPr>
            <w:rFonts w:asciiTheme="minorEastAsia" w:hAnsiTheme="minorEastAsia"/>
          </w:rPr>
        </w:pPr>
        <w:r>
          <w:rPr>
            <w:rFonts w:asciiTheme="minorEastAsia" w:hAnsiTheme="minorEastAsia"/>
            <w:i/>
          </w:rPr>
          <w:drawing>
            <wp:anchor distT="0" distB="0" distL="114300" distR="114300" simplePos="0" relativeHeight="251659264" behindDoc="0" locked="0" layoutInCell="1" allowOverlap="1">
              <wp:simplePos x="0" y="0"/>
              <wp:positionH relativeFrom="column">
                <wp:posOffset>-708025</wp:posOffset>
              </wp:positionH>
              <wp:positionV relativeFrom="paragraph">
                <wp:posOffset>60960</wp:posOffset>
              </wp:positionV>
              <wp:extent cx="464185" cy="273050"/>
              <wp:effectExtent l="0" t="0" r="0" b="0"/>
              <wp:wrapSquare wrapText="bothSides"/>
              <wp:docPr id="13" name="图片 13"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招采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273050"/>
                      </a:xfrm>
                      <a:prstGeom prst="rect">
                        <a:avLst/>
                      </a:prstGeom>
                      <a:noFill/>
                      <a:ln>
                        <a:noFill/>
                      </a:ln>
                    </pic:spPr>
                  </pic:pic>
                </a:graphicData>
              </a:graphic>
            </wp:anchor>
          </w:drawing>
        </w:r>
        <w:r>
          <w:rPr>
            <w:rFonts w:hint="eastAsia" w:asciiTheme="minorEastAsia" w:hAnsiTheme="minorEastAsia"/>
            <w:i/>
          </w:rPr>
          <w:t xml:space="preserve">重庆招标采购（集团）有限责任公司                 </w:t>
        </w: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68</w:t>
        </w:r>
        <w:r>
          <w:rPr>
            <w:rFonts w:asciiTheme="minorEastAsia" w:hAnsiTheme="minorEastAsia"/>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Style w:val="51"/>
      </w:rPr>
    </w:pPr>
    <w:r>
      <w:pict>
        <v:shape id="Text Box 1" o:spid="_x0000_s2050" o:spt="202" type="#_x0000_t202" style="position:absolute;left:0pt;margin-top:0pt;height:17.05pt;width:16.55pt;mso-position-horizontal:center;mso-position-horizontal-relative:margin;z-index:251660288;mso-width-relative:page;mso-height-relative:page;" filled="f" stroked="f" coordsize="21600,21600" o:gfxdata="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qxWR3TAAAAAwEAAA8AAAAA&#10;AAAAAQAgAAAAIgAAAGRycy9kb3ducmV2LnhtbFBLAQIUABQAAAAIAIdO4kATKJZh4AEAALYDAAAO&#10;AAAAAAAAAAEAIAAAACIBAABkcnMvZTJvRG9jLnhtbFBLBQYAAAAABgAGAFkBAAB0BQAAAAA=&#10;">
          <v:path/>
          <v:fill on="f" focussize="0,0"/>
          <v:stroke on="f" joinstyle="miter"/>
          <v:imagedata o:title=""/>
          <o:lock v:ext="edit"/>
          <v:textbox inset="0mm,0mm,0mm,0mm">
            <w:txbxContent>
              <w:p>
                <w:pPr>
                  <w:pStyle w:val="31"/>
                  <w:rPr>
                    <w:rStyle w:val="51"/>
                  </w:rPr>
                </w:pPr>
                <w:r>
                  <w:rPr>
                    <w:sz w:val="21"/>
                    <w:szCs w:val="21"/>
                  </w:rPr>
                  <w:fldChar w:fldCharType="begin"/>
                </w:r>
                <w:r>
                  <w:rPr>
                    <w:rStyle w:val="51"/>
                  </w:rPr>
                  <w:instrText xml:space="preserve">PAGE  </w:instrText>
                </w:r>
                <w:r>
                  <w:rPr>
                    <w:sz w:val="21"/>
                    <w:szCs w:val="21"/>
                  </w:rPr>
                  <w:fldChar w:fldCharType="separate"/>
                </w:r>
                <w:r>
                  <w:rPr>
                    <w:rStyle w:val="51"/>
                  </w:rPr>
                  <w:t>69</w:t>
                </w:r>
                <w:r>
                  <w:rPr>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rPr>
        <w:b/>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重庆银行外包服务水平协议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rPr>
        <w:rFonts w:asciiTheme="minorEastAsia" w:hAnsiTheme="minorEastAsia"/>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4D"/>
    <w:multiLevelType w:val="multilevel"/>
    <w:tmpl w:val="0137454D"/>
    <w:lvl w:ilvl="0" w:tentative="0">
      <w:start w:val="1"/>
      <w:numFmt w:val="bullet"/>
      <w:pStyle w:val="212"/>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
    <w:nsid w:val="0ECE3508"/>
    <w:multiLevelType w:val="multilevel"/>
    <w:tmpl w:val="0ECE35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4867A0"/>
    <w:multiLevelType w:val="multilevel"/>
    <w:tmpl w:val="1A4867A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9AE3D10"/>
    <w:multiLevelType w:val="multilevel"/>
    <w:tmpl w:val="29AE3D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4F260D5"/>
    <w:multiLevelType w:val="multilevel"/>
    <w:tmpl w:val="34F260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736626B"/>
    <w:multiLevelType w:val="multilevel"/>
    <w:tmpl w:val="3736626B"/>
    <w:lvl w:ilvl="0" w:tentative="0">
      <w:start w:val="1"/>
      <w:numFmt w:val="japaneseCounting"/>
      <w:lvlText w:val="第%1条"/>
      <w:lvlJc w:val="left"/>
      <w:pPr>
        <w:ind w:left="1980" w:hanging="420"/>
      </w:pPr>
      <w:rPr>
        <w:b/>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095590"/>
    <w:multiLevelType w:val="multilevel"/>
    <w:tmpl w:val="3D0955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F5D1C22"/>
    <w:multiLevelType w:val="multilevel"/>
    <w:tmpl w:val="3F5D1C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10B08DA"/>
    <w:multiLevelType w:val="multilevel"/>
    <w:tmpl w:val="410B08DA"/>
    <w:lvl w:ilvl="0" w:tentative="0">
      <w:start w:val="1"/>
      <w:numFmt w:val="decimal"/>
      <w:lvlText w:val="（%1）"/>
      <w:lvlJc w:val="left"/>
      <w:pPr>
        <w:ind w:left="0" w:hanging="720"/>
      </w:pPr>
      <w:rPr>
        <w:rFonts w:hint="default"/>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abstractNum w:abstractNumId="9">
    <w:nsid w:val="450B0BA2"/>
    <w:multiLevelType w:val="multilevel"/>
    <w:tmpl w:val="450B0BA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45F16AF5"/>
    <w:multiLevelType w:val="singleLevel"/>
    <w:tmpl w:val="45F16AF5"/>
    <w:lvl w:ilvl="0" w:tentative="0">
      <w:start w:val="1"/>
      <w:numFmt w:val="bullet"/>
      <w:pStyle w:val="137"/>
      <w:lvlText w:val=""/>
      <w:lvlJc w:val="left"/>
      <w:pPr>
        <w:tabs>
          <w:tab w:val="left" w:pos="425"/>
        </w:tabs>
        <w:ind w:left="425" w:hanging="425"/>
      </w:pPr>
      <w:rPr>
        <w:rFonts w:hint="default" w:ascii="Wingdings" w:hAnsi="Wingdings"/>
        <w:sz w:val="18"/>
      </w:rPr>
    </w:lvl>
  </w:abstractNum>
  <w:abstractNum w:abstractNumId="11">
    <w:nsid w:val="47802BAA"/>
    <w:multiLevelType w:val="multilevel"/>
    <w:tmpl w:val="47802B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sz w:val="28"/>
        <w:szCs w:val="28"/>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2A010F1"/>
    <w:multiLevelType w:val="singleLevel"/>
    <w:tmpl w:val="52A010F1"/>
    <w:lvl w:ilvl="0" w:tentative="0">
      <w:start w:val="1"/>
      <w:numFmt w:val="chineseCountingThousand"/>
      <w:pStyle w:val="196"/>
      <w:lvlText w:val="%1."/>
      <w:lvlJc w:val="left"/>
      <w:pPr>
        <w:tabs>
          <w:tab w:val="left" w:pos="425"/>
        </w:tabs>
        <w:ind w:left="425" w:hanging="425"/>
      </w:pPr>
      <w:rPr>
        <w:rFonts w:hint="eastAsia"/>
      </w:rPr>
    </w:lvl>
  </w:abstractNum>
  <w:abstractNum w:abstractNumId="13">
    <w:nsid w:val="53E07B36"/>
    <w:multiLevelType w:val="multilevel"/>
    <w:tmpl w:val="53E07B36"/>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62F08AA"/>
    <w:multiLevelType w:val="multilevel"/>
    <w:tmpl w:val="562F08AA"/>
    <w:lvl w:ilvl="0" w:tentative="0">
      <w:start w:val="1"/>
      <w:numFmt w:val="chineseCountingThousand"/>
      <w:pStyle w:val="87"/>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B2351"/>
    <w:multiLevelType w:val="multilevel"/>
    <w:tmpl w:val="57DB2351"/>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1979"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5CC7ED63"/>
    <w:multiLevelType w:val="singleLevel"/>
    <w:tmpl w:val="5CC7ED63"/>
    <w:lvl w:ilvl="0" w:tentative="0">
      <w:start w:val="1"/>
      <w:numFmt w:val="decimal"/>
      <w:suff w:val="nothing"/>
      <w:lvlText w:val="（%1）"/>
      <w:lvlJc w:val="left"/>
    </w:lvl>
  </w:abstractNum>
  <w:abstractNum w:abstractNumId="17">
    <w:nsid w:val="5DD44FC1"/>
    <w:multiLevelType w:val="multilevel"/>
    <w:tmpl w:val="5DD44FC1"/>
    <w:lvl w:ilvl="0" w:tentative="0">
      <w:start w:val="1"/>
      <w:numFmt w:val="bullet"/>
      <w:pStyle w:val="110"/>
      <w:lvlText w:val="–"/>
      <w:lvlJc w:val="left"/>
      <w:pPr>
        <w:tabs>
          <w:tab w:val="left" w:pos="360"/>
        </w:tabs>
        <w:ind w:left="288" w:hanging="288"/>
      </w:pPr>
      <w:rPr>
        <w:rFonts w:hint="default" w:ascii="Times New Roman" w:hAnsi="Times New Roman" w:cs="Times New Roman"/>
      </w:rPr>
    </w:lvl>
    <w:lvl w:ilvl="1" w:tentative="0">
      <w:start w:val="1"/>
      <w:numFmt w:val="bullet"/>
      <w:lvlText w:val="o"/>
      <w:lvlJc w:val="left"/>
      <w:pPr>
        <w:tabs>
          <w:tab w:val="left" w:pos="749"/>
        </w:tabs>
        <w:ind w:left="749" w:hanging="360"/>
      </w:pPr>
      <w:rPr>
        <w:rFonts w:hint="default" w:ascii="Courier New" w:hAnsi="Courier New" w:cs="Courier New"/>
      </w:rPr>
    </w:lvl>
    <w:lvl w:ilvl="2" w:tentative="0">
      <w:start w:val="1"/>
      <w:numFmt w:val="bullet"/>
      <w:lvlText w:val=""/>
      <w:lvlJc w:val="left"/>
      <w:pPr>
        <w:tabs>
          <w:tab w:val="left" w:pos="1469"/>
        </w:tabs>
        <w:ind w:left="1469" w:hanging="360"/>
      </w:pPr>
      <w:rPr>
        <w:rFonts w:hint="default" w:ascii="Wingdings" w:hAnsi="Wingdings"/>
      </w:rPr>
    </w:lvl>
    <w:lvl w:ilvl="3" w:tentative="0">
      <w:start w:val="1"/>
      <w:numFmt w:val="bullet"/>
      <w:lvlText w:val=""/>
      <w:lvlJc w:val="left"/>
      <w:pPr>
        <w:tabs>
          <w:tab w:val="left" w:pos="2189"/>
        </w:tabs>
        <w:ind w:left="2189" w:hanging="360"/>
      </w:pPr>
      <w:rPr>
        <w:rFonts w:hint="default" w:ascii="Symbol" w:hAnsi="Symbol"/>
      </w:rPr>
    </w:lvl>
    <w:lvl w:ilvl="4" w:tentative="0">
      <w:start w:val="1"/>
      <w:numFmt w:val="bullet"/>
      <w:lvlText w:val="o"/>
      <w:lvlJc w:val="left"/>
      <w:pPr>
        <w:tabs>
          <w:tab w:val="left" w:pos="2909"/>
        </w:tabs>
        <w:ind w:left="2909" w:hanging="360"/>
      </w:pPr>
      <w:rPr>
        <w:rFonts w:hint="default" w:ascii="Courier New" w:hAnsi="Courier New" w:cs="Courier New"/>
      </w:rPr>
    </w:lvl>
    <w:lvl w:ilvl="5" w:tentative="0">
      <w:start w:val="1"/>
      <w:numFmt w:val="bullet"/>
      <w:lvlText w:val=""/>
      <w:lvlJc w:val="left"/>
      <w:pPr>
        <w:tabs>
          <w:tab w:val="left" w:pos="3629"/>
        </w:tabs>
        <w:ind w:left="3629" w:hanging="360"/>
      </w:pPr>
      <w:rPr>
        <w:rFonts w:hint="default" w:ascii="Wingdings" w:hAnsi="Wingdings"/>
      </w:rPr>
    </w:lvl>
    <w:lvl w:ilvl="6" w:tentative="0">
      <w:start w:val="1"/>
      <w:numFmt w:val="bullet"/>
      <w:lvlText w:val=""/>
      <w:lvlJc w:val="left"/>
      <w:pPr>
        <w:tabs>
          <w:tab w:val="left" w:pos="4349"/>
        </w:tabs>
        <w:ind w:left="4349" w:hanging="360"/>
      </w:pPr>
      <w:rPr>
        <w:rFonts w:hint="default" w:ascii="Symbol" w:hAnsi="Symbol"/>
      </w:rPr>
    </w:lvl>
    <w:lvl w:ilvl="7" w:tentative="0">
      <w:start w:val="1"/>
      <w:numFmt w:val="bullet"/>
      <w:lvlText w:val="o"/>
      <w:lvlJc w:val="left"/>
      <w:pPr>
        <w:tabs>
          <w:tab w:val="left" w:pos="5069"/>
        </w:tabs>
        <w:ind w:left="5069" w:hanging="360"/>
      </w:pPr>
      <w:rPr>
        <w:rFonts w:hint="default" w:ascii="Courier New" w:hAnsi="Courier New" w:cs="Courier New"/>
      </w:rPr>
    </w:lvl>
    <w:lvl w:ilvl="8" w:tentative="0">
      <w:start w:val="1"/>
      <w:numFmt w:val="bullet"/>
      <w:lvlText w:val=""/>
      <w:lvlJc w:val="left"/>
      <w:pPr>
        <w:tabs>
          <w:tab w:val="left" w:pos="5789"/>
        </w:tabs>
        <w:ind w:left="5789" w:hanging="360"/>
      </w:pPr>
      <w:rPr>
        <w:rFonts w:hint="default" w:ascii="Wingdings" w:hAnsi="Wingdings"/>
      </w:rPr>
    </w:lvl>
  </w:abstractNum>
  <w:abstractNum w:abstractNumId="18">
    <w:nsid w:val="68804DFB"/>
    <w:multiLevelType w:val="multilevel"/>
    <w:tmpl w:val="68804DFB"/>
    <w:lvl w:ilvl="0" w:tentative="0">
      <w:start w:val="1"/>
      <w:numFmt w:val="decimal"/>
      <w:pStyle w:val="270"/>
      <w:lvlText w:val="%1."/>
      <w:lvlJc w:val="left"/>
      <w:pPr>
        <w:tabs>
          <w:tab w:val="left" w:pos="360"/>
        </w:tabs>
        <w:ind w:left="360" w:hanging="360"/>
      </w:pPr>
    </w:lvl>
    <w:lvl w:ilvl="1" w:tentative="0">
      <w:start w:val="1"/>
      <w:numFmt w:val="decimal"/>
      <w:pStyle w:val="271"/>
      <w:lvlText w:val="%1.%2."/>
      <w:lvlJc w:val="left"/>
      <w:pPr>
        <w:tabs>
          <w:tab w:val="left" w:pos="5490"/>
        </w:tabs>
        <w:ind w:left="5130" w:hanging="360"/>
      </w:pPr>
      <w:rPr>
        <w:lang w:val="en-US"/>
      </w:rPr>
    </w:lvl>
    <w:lvl w:ilvl="2" w:tentative="0">
      <w:start w:val="1"/>
      <w:numFmt w:val="decimal"/>
      <w:pStyle w:val="272"/>
      <w:lvlText w:val="%1.%2.%3."/>
      <w:lvlJc w:val="left"/>
      <w:pPr>
        <w:tabs>
          <w:tab w:val="left" w:pos="1440"/>
        </w:tabs>
        <w:ind w:left="1080" w:hanging="360"/>
      </w:pPr>
    </w:lvl>
    <w:lvl w:ilvl="3" w:tentative="0">
      <w:start w:val="1"/>
      <w:numFmt w:val="decimal"/>
      <w:pStyle w:val="273"/>
      <w:lvlText w:val="%1.%2.%3.%4."/>
      <w:lvlJc w:val="left"/>
      <w:pPr>
        <w:tabs>
          <w:tab w:val="left" w:pos="216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9">
    <w:nsid w:val="69FE05F9"/>
    <w:multiLevelType w:val="multilevel"/>
    <w:tmpl w:val="69FE05F9"/>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20">
    <w:nsid w:val="6BF72907"/>
    <w:multiLevelType w:val="multilevel"/>
    <w:tmpl w:val="6BF7290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1">
    <w:nsid w:val="6C123900"/>
    <w:multiLevelType w:val="multilevel"/>
    <w:tmpl w:val="6C1239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DD26BAC"/>
    <w:multiLevelType w:val="multilevel"/>
    <w:tmpl w:val="6DD26B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EF45E28"/>
    <w:multiLevelType w:val="multilevel"/>
    <w:tmpl w:val="6EF45E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9F15CC8"/>
    <w:multiLevelType w:val="multilevel"/>
    <w:tmpl w:val="79F15CC8"/>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7EEA2026"/>
    <w:multiLevelType w:val="multilevel"/>
    <w:tmpl w:val="7EEA2026"/>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2"/>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num>
  <w:num w:numId="12">
    <w:abstractNumId w:val="19"/>
  </w:num>
  <w:num w:numId="13">
    <w:abstractNumId w:val="11"/>
  </w:num>
  <w:num w:numId="14">
    <w:abstractNumId w:val="22"/>
  </w:num>
  <w:num w:numId="15">
    <w:abstractNumId w:val="23"/>
  </w:num>
  <w:num w:numId="16">
    <w:abstractNumId w:val="15"/>
  </w:num>
  <w:num w:numId="17">
    <w:abstractNumId w:val="21"/>
  </w:num>
  <w:num w:numId="18">
    <w:abstractNumId w:val="4"/>
  </w:num>
  <w:num w:numId="19">
    <w:abstractNumId w:val="6"/>
  </w:num>
  <w:num w:numId="20">
    <w:abstractNumId w:val="9"/>
  </w:num>
  <w:num w:numId="21">
    <w:abstractNumId w:val="7"/>
  </w:num>
  <w:num w:numId="22">
    <w:abstractNumId w:val="25"/>
  </w:num>
  <w:num w:numId="23">
    <w:abstractNumId w:val="1"/>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0E6E"/>
    <w:rsid w:val="00000801"/>
    <w:rsid w:val="00001F2F"/>
    <w:rsid w:val="00003311"/>
    <w:rsid w:val="00004AC6"/>
    <w:rsid w:val="00005EAD"/>
    <w:rsid w:val="0000708D"/>
    <w:rsid w:val="00011014"/>
    <w:rsid w:val="000118EC"/>
    <w:rsid w:val="00016EC0"/>
    <w:rsid w:val="00017C4A"/>
    <w:rsid w:val="0002045B"/>
    <w:rsid w:val="000222E8"/>
    <w:rsid w:val="000239E7"/>
    <w:rsid w:val="00031F84"/>
    <w:rsid w:val="0003242C"/>
    <w:rsid w:val="000328C9"/>
    <w:rsid w:val="00033FF6"/>
    <w:rsid w:val="0003437D"/>
    <w:rsid w:val="00034E58"/>
    <w:rsid w:val="00036B1C"/>
    <w:rsid w:val="0004041A"/>
    <w:rsid w:val="00040806"/>
    <w:rsid w:val="00040E4C"/>
    <w:rsid w:val="00042073"/>
    <w:rsid w:val="00042B4A"/>
    <w:rsid w:val="00042CA6"/>
    <w:rsid w:val="0004343B"/>
    <w:rsid w:val="0005093C"/>
    <w:rsid w:val="00055583"/>
    <w:rsid w:val="0005761F"/>
    <w:rsid w:val="00057F19"/>
    <w:rsid w:val="000605F9"/>
    <w:rsid w:val="00062841"/>
    <w:rsid w:val="00062B40"/>
    <w:rsid w:val="000645D2"/>
    <w:rsid w:val="00066269"/>
    <w:rsid w:val="0006660A"/>
    <w:rsid w:val="00070687"/>
    <w:rsid w:val="00071167"/>
    <w:rsid w:val="000727C2"/>
    <w:rsid w:val="00075AC1"/>
    <w:rsid w:val="0007612B"/>
    <w:rsid w:val="00076618"/>
    <w:rsid w:val="000818DB"/>
    <w:rsid w:val="00085437"/>
    <w:rsid w:val="00085AE0"/>
    <w:rsid w:val="000902F3"/>
    <w:rsid w:val="0009134D"/>
    <w:rsid w:val="0009479B"/>
    <w:rsid w:val="0009551F"/>
    <w:rsid w:val="000963DC"/>
    <w:rsid w:val="00096B14"/>
    <w:rsid w:val="00097146"/>
    <w:rsid w:val="000A1952"/>
    <w:rsid w:val="000A1F71"/>
    <w:rsid w:val="000B11FE"/>
    <w:rsid w:val="000B1AFB"/>
    <w:rsid w:val="000B60B6"/>
    <w:rsid w:val="000C0898"/>
    <w:rsid w:val="000C0ABA"/>
    <w:rsid w:val="000C2959"/>
    <w:rsid w:val="000C2965"/>
    <w:rsid w:val="000C306C"/>
    <w:rsid w:val="000C3C69"/>
    <w:rsid w:val="000C3FAF"/>
    <w:rsid w:val="000C5CF1"/>
    <w:rsid w:val="000C6E37"/>
    <w:rsid w:val="000C7CC4"/>
    <w:rsid w:val="000D00D5"/>
    <w:rsid w:val="000D05D4"/>
    <w:rsid w:val="000D203F"/>
    <w:rsid w:val="000D3822"/>
    <w:rsid w:val="000D7B4D"/>
    <w:rsid w:val="000E1DCA"/>
    <w:rsid w:val="000E23BA"/>
    <w:rsid w:val="000E27EA"/>
    <w:rsid w:val="000E4E2D"/>
    <w:rsid w:val="000E6A5D"/>
    <w:rsid w:val="000F0FCC"/>
    <w:rsid w:val="000F22D6"/>
    <w:rsid w:val="000F40FE"/>
    <w:rsid w:val="000F6A72"/>
    <w:rsid w:val="000F6D4B"/>
    <w:rsid w:val="0010318B"/>
    <w:rsid w:val="0010329D"/>
    <w:rsid w:val="00106386"/>
    <w:rsid w:val="00106DB6"/>
    <w:rsid w:val="00107912"/>
    <w:rsid w:val="00107CAB"/>
    <w:rsid w:val="00110746"/>
    <w:rsid w:val="00111A47"/>
    <w:rsid w:val="00113E79"/>
    <w:rsid w:val="00117460"/>
    <w:rsid w:val="00117F6E"/>
    <w:rsid w:val="00121E51"/>
    <w:rsid w:val="00124574"/>
    <w:rsid w:val="00124699"/>
    <w:rsid w:val="001253B9"/>
    <w:rsid w:val="001313D4"/>
    <w:rsid w:val="00131717"/>
    <w:rsid w:val="00140435"/>
    <w:rsid w:val="0014574F"/>
    <w:rsid w:val="00145CF3"/>
    <w:rsid w:val="001470EE"/>
    <w:rsid w:val="001475C3"/>
    <w:rsid w:val="00150FC9"/>
    <w:rsid w:val="00156383"/>
    <w:rsid w:val="0015638C"/>
    <w:rsid w:val="001565A4"/>
    <w:rsid w:val="001565BD"/>
    <w:rsid w:val="001622A1"/>
    <w:rsid w:val="00163D9A"/>
    <w:rsid w:val="0016494C"/>
    <w:rsid w:val="00166606"/>
    <w:rsid w:val="00170801"/>
    <w:rsid w:val="00171850"/>
    <w:rsid w:val="00171DEC"/>
    <w:rsid w:val="00172B69"/>
    <w:rsid w:val="00173D57"/>
    <w:rsid w:val="00174DD2"/>
    <w:rsid w:val="0018092B"/>
    <w:rsid w:val="00182C14"/>
    <w:rsid w:val="00183E69"/>
    <w:rsid w:val="001843BA"/>
    <w:rsid w:val="00184774"/>
    <w:rsid w:val="00186C61"/>
    <w:rsid w:val="00190074"/>
    <w:rsid w:val="00190CE0"/>
    <w:rsid w:val="0019287D"/>
    <w:rsid w:val="001949E1"/>
    <w:rsid w:val="0019532E"/>
    <w:rsid w:val="001974A7"/>
    <w:rsid w:val="00197EC5"/>
    <w:rsid w:val="001A5535"/>
    <w:rsid w:val="001A6761"/>
    <w:rsid w:val="001A7722"/>
    <w:rsid w:val="001B3491"/>
    <w:rsid w:val="001C08EF"/>
    <w:rsid w:val="001C265F"/>
    <w:rsid w:val="001C3788"/>
    <w:rsid w:val="001C3F7C"/>
    <w:rsid w:val="001C7669"/>
    <w:rsid w:val="001C77CC"/>
    <w:rsid w:val="001C7E68"/>
    <w:rsid w:val="001D0692"/>
    <w:rsid w:val="001D1A57"/>
    <w:rsid w:val="001D5E12"/>
    <w:rsid w:val="001E455B"/>
    <w:rsid w:val="001E57D8"/>
    <w:rsid w:val="001F07BE"/>
    <w:rsid w:val="001F0E0F"/>
    <w:rsid w:val="001F638F"/>
    <w:rsid w:val="001F752B"/>
    <w:rsid w:val="001F7CB9"/>
    <w:rsid w:val="002015EC"/>
    <w:rsid w:val="00201DEF"/>
    <w:rsid w:val="00201F7B"/>
    <w:rsid w:val="00205F16"/>
    <w:rsid w:val="00207E25"/>
    <w:rsid w:val="0021016D"/>
    <w:rsid w:val="00212EFF"/>
    <w:rsid w:val="00214BF8"/>
    <w:rsid w:val="00214F22"/>
    <w:rsid w:val="00216F56"/>
    <w:rsid w:val="00220F5E"/>
    <w:rsid w:val="00221F85"/>
    <w:rsid w:val="00223275"/>
    <w:rsid w:val="0022517E"/>
    <w:rsid w:val="0022633F"/>
    <w:rsid w:val="00227401"/>
    <w:rsid w:val="0023048A"/>
    <w:rsid w:val="0023135E"/>
    <w:rsid w:val="00234C37"/>
    <w:rsid w:val="002411A1"/>
    <w:rsid w:val="00243051"/>
    <w:rsid w:val="00243069"/>
    <w:rsid w:val="00243E1D"/>
    <w:rsid w:val="002459A0"/>
    <w:rsid w:val="00246667"/>
    <w:rsid w:val="00247FD7"/>
    <w:rsid w:val="002510AC"/>
    <w:rsid w:val="002519EF"/>
    <w:rsid w:val="0025299D"/>
    <w:rsid w:val="00255224"/>
    <w:rsid w:val="002569EA"/>
    <w:rsid w:val="00262AFB"/>
    <w:rsid w:val="00267838"/>
    <w:rsid w:val="00270B51"/>
    <w:rsid w:val="0027141E"/>
    <w:rsid w:val="0027167A"/>
    <w:rsid w:val="00272EFE"/>
    <w:rsid w:val="00277281"/>
    <w:rsid w:val="002774D2"/>
    <w:rsid w:val="00277A26"/>
    <w:rsid w:val="002802BA"/>
    <w:rsid w:val="00281E10"/>
    <w:rsid w:val="00283894"/>
    <w:rsid w:val="00291081"/>
    <w:rsid w:val="002919DA"/>
    <w:rsid w:val="002972E9"/>
    <w:rsid w:val="00297C39"/>
    <w:rsid w:val="002A388E"/>
    <w:rsid w:val="002A4546"/>
    <w:rsid w:val="002A4E2F"/>
    <w:rsid w:val="002A57FB"/>
    <w:rsid w:val="002A60AD"/>
    <w:rsid w:val="002B4785"/>
    <w:rsid w:val="002B595E"/>
    <w:rsid w:val="002B5EB4"/>
    <w:rsid w:val="002B6AA5"/>
    <w:rsid w:val="002B719A"/>
    <w:rsid w:val="002C039A"/>
    <w:rsid w:val="002C1C45"/>
    <w:rsid w:val="002C2EE7"/>
    <w:rsid w:val="002C41A5"/>
    <w:rsid w:val="002D5311"/>
    <w:rsid w:val="002D5BD7"/>
    <w:rsid w:val="002D6877"/>
    <w:rsid w:val="002E15F1"/>
    <w:rsid w:val="002E7423"/>
    <w:rsid w:val="002E767D"/>
    <w:rsid w:val="002F1678"/>
    <w:rsid w:val="002F2BF8"/>
    <w:rsid w:val="002F36D7"/>
    <w:rsid w:val="002F3DCB"/>
    <w:rsid w:val="002F4AA7"/>
    <w:rsid w:val="0030108E"/>
    <w:rsid w:val="00301A9A"/>
    <w:rsid w:val="00303AC3"/>
    <w:rsid w:val="003109CE"/>
    <w:rsid w:val="00310B7F"/>
    <w:rsid w:val="00311CC8"/>
    <w:rsid w:val="003163B3"/>
    <w:rsid w:val="00321500"/>
    <w:rsid w:val="003215BE"/>
    <w:rsid w:val="00322642"/>
    <w:rsid w:val="00324A93"/>
    <w:rsid w:val="00325B99"/>
    <w:rsid w:val="00326CCA"/>
    <w:rsid w:val="003273A6"/>
    <w:rsid w:val="00327A4D"/>
    <w:rsid w:val="00330B85"/>
    <w:rsid w:val="00334956"/>
    <w:rsid w:val="0033585E"/>
    <w:rsid w:val="00335C78"/>
    <w:rsid w:val="00337F3A"/>
    <w:rsid w:val="00340ED4"/>
    <w:rsid w:val="00343D55"/>
    <w:rsid w:val="00345251"/>
    <w:rsid w:val="003467D4"/>
    <w:rsid w:val="00350AFE"/>
    <w:rsid w:val="00350BC8"/>
    <w:rsid w:val="00351399"/>
    <w:rsid w:val="00357179"/>
    <w:rsid w:val="0036294A"/>
    <w:rsid w:val="00363C33"/>
    <w:rsid w:val="00364F60"/>
    <w:rsid w:val="00367D4E"/>
    <w:rsid w:val="003713F4"/>
    <w:rsid w:val="00371D22"/>
    <w:rsid w:val="00372C92"/>
    <w:rsid w:val="00374150"/>
    <w:rsid w:val="00374A74"/>
    <w:rsid w:val="003755EA"/>
    <w:rsid w:val="003833D8"/>
    <w:rsid w:val="0038550A"/>
    <w:rsid w:val="00386C95"/>
    <w:rsid w:val="0038718D"/>
    <w:rsid w:val="00390CE0"/>
    <w:rsid w:val="0039304C"/>
    <w:rsid w:val="00395B21"/>
    <w:rsid w:val="00396CA4"/>
    <w:rsid w:val="00397E53"/>
    <w:rsid w:val="003A0B4C"/>
    <w:rsid w:val="003A14BA"/>
    <w:rsid w:val="003A2FC4"/>
    <w:rsid w:val="003A38D2"/>
    <w:rsid w:val="003A7474"/>
    <w:rsid w:val="003A7A86"/>
    <w:rsid w:val="003B0107"/>
    <w:rsid w:val="003B0304"/>
    <w:rsid w:val="003B1003"/>
    <w:rsid w:val="003B61B8"/>
    <w:rsid w:val="003B7769"/>
    <w:rsid w:val="003B7FB0"/>
    <w:rsid w:val="003C1750"/>
    <w:rsid w:val="003C2547"/>
    <w:rsid w:val="003C36E7"/>
    <w:rsid w:val="003C550C"/>
    <w:rsid w:val="003C5FDE"/>
    <w:rsid w:val="003C7B7D"/>
    <w:rsid w:val="003D0D7B"/>
    <w:rsid w:val="003D184F"/>
    <w:rsid w:val="003D3483"/>
    <w:rsid w:val="003D5E3B"/>
    <w:rsid w:val="003D6775"/>
    <w:rsid w:val="003E3806"/>
    <w:rsid w:val="003E5FFF"/>
    <w:rsid w:val="003E65BF"/>
    <w:rsid w:val="003E6F69"/>
    <w:rsid w:val="003F0972"/>
    <w:rsid w:val="003F3574"/>
    <w:rsid w:val="003F523F"/>
    <w:rsid w:val="00400C09"/>
    <w:rsid w:val="00401035"/>
    <w:rsid w:val="004014DE"/>
    <w:rsid w:val="00401C61"/>
    <w:rsid w:val="00402316"/>
    <w:rsid w:val="00404591"/>
    <w:rsid w:val="00406DFF"/>
    <w:rsid w:val="00410F83"/>
    <w:rsid w:val="00413DD9"/>
    <w:rsid w:val="004160A6"/>
    <w:rsid w:val="004173E7"/>
    <w:rsid w:val="00421D49"/>
    <w:rsid w:val="00421E88"/>
    <w:rsid w:val="00422C03"/>
    <w:rsid w:val="004231E1"/>
    <w:rsid w:val="004266DE"/>
    <w:rsid w:val="00427D48"/>
    <w:rsid w:val="00427DA3"/>
    <w:rsid w:val="004309B5"/>
    <w:rsid w:val="004322CC"/>
    <w:rsid w:val="00432D25"/>
    <w:rsid w:val="00433E09"/>
    <w:rsid w:val="00434BE9"/>
    <w:rsid w:val="004357A2"/>
    <w:rsid w:val="004364C2"/>
    <w:rsid w:val="00437A1A"/>
    <w:rsid w:val="00443472"/>
    <w:rsid w:val="00444E07"/>
    <w:rsid w:val="004455A6"/>
    <w:rsid w:val="00447117"/>
    <w:rsid w:val="00450A90"/>
    <w:rsid w:val="00451AC2"/>
    <w:rsid w:val="00452A13"/>
    <w:rsid w:val="0045697E"/>
    <w:rsid w:val="00456A07"/>
    <w:rsid w:val="00460E6E"/>
    <w:rsid w:val="004629AD"/>
    <w:rsid w:val="00462F05"/>
    <w:rsid w:val="00464F50"/>
    <w:rsid w:val="00465654"/>
    <w:rsid w:val="00467F3A"/>
    <w:rsid w:val="00470C73"/>
    <w:rsid w:val="00470E7F"/>
    <w:rsid w:val="00480D67"/>
    <w:rsid w:val="00483121"/>
    <w:rsid w:val="00484015"/>
    <w:rsid w:val="0048404F"/>
    <w:rsid w:val="00490B44"/>
    <w:rsid w:val="004A1CD5"/>
    <w:rsid w:val="004A2B03"/>
    <w:rsid w:val="004A2C56"/>
    <w:rsid w:val="004A5B07"/>
    <w:rsid w:val="004A7A46"/>
    <w:rsid w:val="004B1709"/>
    <w:rsid w:val="004B1777"/>
    <w:rsid w:val="004B1EF0"/>
    <w:rsid w:val="004B6596"/>
    <w:rsid w:val="004B6D31"/>
    <w:rsid w:val="004B741A"/>
    <w:rsid w:val="004C1183"/>
    <w:rsid w:val="004C1F9B"/>
    <w:rsid w:val="004C5B2B"/>
    <w:rsid w:val="004D1182"/>
    <w:rsid w:val="004D131D"/>
    <w:rsid w:val="004D2A10"/>
    <w:rsid w:val="004D6C4A"/>
    <w:rsid w:val="004D6D94"/>
    <w:rsid w:val="004D6EEA"/>
    <w:rsid w:val="004E0BD2"/>
    <w:rsid w:val="004E4E5B"/>
    <w:rsid w:val="004F0979"/>
    <w:rsid w:val="004F0CB7"/>
    <w:rsid w:val="004F236A"/>
    <w:rsid w:val="004F25D3"/>
    <w:rsid w:val="004F3311"/>
    <w:rsid w:val="004F5DF1"/>
    <w:rsid w:val="004F6483"/>
    <w:rsid w:val="004F65FB"/>
    <w:rsid w:val="004F678A"/>
    <w:rsid w:val="004F7912"/>
    <w:rsid w:val="005011AC"/>
    <w:rsid w:val="0050145A"/>
    <w:rsid w:val="00502E36"/>
    <w:rsid w:val="00503EE5"/>
    <w:rsid w:val="00503EFA"/>
    <w:rsid w:val="00504782"/>
    <w:rsid w:val="00504B78"/>
    <w:rsid w:val="00504B8E"/>
    <w:rsid w:val="00506214"/>
    <w:rsid w:val="00510FF4"/>
    <w:rsid w:val="00511954"/>
    <w:rsid w:val="00511A92"/>
    <w:rsid w:val="00511C9C"/>
    <w:rsid w:val="00514FB0"/>
    <w:rsid w:val="00521400"/>
    <w:rsid w:val="00524140"/>
    <w:rsid w:val="005254E9"/>
    <w:rsid w:val="00526DB5"/>
    <w:rsid w:val="00526DD2"/>
    <w:rsid w:val="005278BB"/>
    <w:rsid w:val="00527D5E"/>
    <w:rsid w:val="00531725"/>
    <w:rsid w:val="00531890"/>
    <w:rsid w:val="00534467"/>
    <w:rsid w:val="005349EF"/>
    <w:rsid w:val="00540E61"/>
    <w:rsid w:val="00540EB6"/>
    <w:rsid w:val="0054333F"/>
    <w:rsid w:val="0054403F"/>
    <w:rsid w:val="00544A9A"/>
    <w:rsid w:val="00545C5B"/>
    <w:rsid w:val="00545D94"/>
    <w:rsid w:val="00546202"/>
    <w:rsid w:val="005474E5"/>
    <w:rsid w:val="0055268D"/>
    <w:rsid w:val="00552C8D"/>
    <w:rsid w:val="00553274"/>
    <w:rsid w:val="005559CB"/>
    <w:rsid w:val="00557F16"/>
    <w:rsid w:val="00561BF6"/>
    <w:rsid w:val="00564055"/>
    <w:rsid w:val="00564A1B"/>
    <w:rsid w:val="005658CF"/>
    <w:rsid w:val="00566918"/>
    <w:rsid w:val="00566DCA"/>
    <w:rsid w:val="005678A0"/>
    <w:rsid w:val="00567955"/>
    <w:rsid w:val="005709F9"/>
    <w:rsid w:val="00570A6D"/>
    <w:rsid w:val="00571894"/>
    <w:rsid w:val="005722ED"/>
    <w:rsid w:val="00573174"/>
    <w:rsid w:val="0057351A"/>
    <w:rsid w:val="00575C92"/>
    <w:rsid w:val="0057676B"/>
    <w:rsid w:val="00576EB8"/>
    <w:rsid w:val="00580D9D"/>
    <w:rsid w:val="00582470"/>
    <w:rsid w:val="005824A7"/>
    <w:rsid w:val="005844ED"/>
    <w:rsid w:val="005845A7"/>
    <w:rsid w:val="00584B77"/>
    <w:rsid w:val="005870D6"/>
    <w:rsid w:val="00591A44"/>
    <w:rsid w:val="00592CF6"/>
    <w:rsid w:val="00596C16"/>
    <w:rsid w:val="00597183"/>
    <w:rsid w:val="005A149D"/>
    <w:rsid w:val="005A2811"/>
    <w:rsid w:val="005A7B5B"/>
    <w:rsid w:val="005B05CA"/>
    <w:rsid w:val="005B2841"/>
    <w:rsid w:val="005B2B4B"/>
    <w:rsid w:val="005B3B55"/>
    <w:rsid w:val="005B4832"/>
    <w:rsid w:val="005B5633"/>
    <w:rsid w:val="005B5780"/>
    <w:rsid w:val="005B5E63"/>
    <w:rsid w:val="005C0B23"/>
    <w:rsid w:val="005C13DC"/>
    <w:rsid w:val="005C52EE"/>
    <w:rsid w:val="005C674B"/>
    <w:rsid w:val="005C6BBD"/>
    <w:rsid w:val="005D1AC3"/>
    <w:rsid w:val="005D2BE4"/>
    <w:rsid w:val="005D67C4"/>
    <w:rsid w:val="005D7DB0"/>
    <w:rsid w:val="005E27E7"/>
    <w:rsid w:val="005E3332"/>
    <w:rsid w:val="005E4652"/>
    <w:rsid w:val="005E4914"/>
    <w:rsid w:val="005E75D4"/>
    <w:rsid w:val="005F27D2"/>
    <w:rsid w:val="005F7FA7"/>
    <w:rsid w:val="00600816"/>
    <w:rsid w:val="006008B2"/>
    <w:rsid w:val="0060541D"/>
    <w:rsid w:val="00606B2C"/>
    <w:rsid w:val="00610B9E"/>
    <w:rsid w:val="006141C0"/>
    <w:rsid w:val="006168EC"/>
    <w:rsid w:val="00616F85"/>
    <w:rsid w:val="00617766"/>
    <w:rsid w:val="00620908"/>
    <w:rsid w:val="006209B6"/>
    <w:rsid w:val="0062204C"/>
    <w:rsid w:val="00622B2F"/>
    <w:rsid w:val="006263FC"/>
    <w:rsid w:val="0063099B"/>
    <w:rsid w:val="0063126E"/>
    <w:rsid w:val="00635848"/>
    <w:rsid w:val="00635E55"/>
    <w:rsid w:val="00641927"/>
    <w:rsid w:val="00642301"/>
    <w:rsid w:val="0064281C"/>
    <w:rsid w:val="00642CEE"/>
    <w:rsid w:val="00644479"/>
    <w:rsid w:val="00647E10"/>
    <w:rsid w:val="006534CF"/>
    <w:rsid w:val="006570F4"/>
    <w:rsid w:val="00657A4C"/>
    <w:rsid w:val="0066168E"/>
    <w:rsid w:val="006618AB"/>
    <w:rsid w:val="00662172"/>
    <w:rsid w:val="0066227C"/>
    <w:rsid w:val="00665994"/>
    <w:rsid w:val="00667243"/>
    <w:rsid w:val="006713FB"/>
    <w:rsid w:val="00671D6B"/>
    <w:rsid w:val="0067205A"/>
    <w:rsid w:val="006746A5"/>
    <w:rsid w:val="0067489F"/>
    <w:rsid w:val="0068042F"/>
    <w:rsid w:val="00686176"/>
    <w:rsid w:val="006920DA"/>
    <w:rsid w:val="00692464"/>
    <w:rsid w:val="006969E0"/>
    <w:rsid w:val="00697799"/>
    <w:rsid w:val="00697AE2"/>
    <w:rsid w:val="006A4560"/>
    <w:rsid w:val="006A5B67"/>
    <w:rsid w:val="006A6747"/>
    <w:rsid w:val="006B20E7"/>
    <w:rsid w:val="006B280C"/>
    <w:rsid w:val="006B4298"/>
    <w:rsid w:val="006B4710"/>
    <w:rsid w:val="006C317B"/>
    <w:rsid w:val="006C3A72"/>
    <w:rsid w:val="006C5334"/>
    <w:rsid w:val="006C7528"/>
    <w:rsid w:val="006C7EAA"/>
    <w:rsid w:val="006D0319"/>
    <w:rsid w:val="006D0FF2"/>
    <w:rsid w:val="006D2D1B"/>
    <w:rsid w:val="006D3AF8"/>
    <w:rsid w:val="006D5CB1"/>
    <w:rsid w:val="006D75A2"/>
    <w:rsid w:val="006D799A"/>
    <w:rsid w:val="006E066C"/>
    <w:rsid w:val="006E1EF7"/>
    <w:rsid w:val="006E4327"/>
    <w:rsid w:val="006E74FC"/>
    <w:rsid w:val="006E79B5"/>
    <w:rsid w:val="006E79D5"/>
    <w:rsid w:val="006F064B"/>
    <w:rsid w:val="006F0939"/>
    <w:rsid w:val="006F26D6"/>
    <w:rsid w:val="006F41A9"/>
    <w:rsid w:val="006F66B5"/>
    <w:rsid w:val="00700143"/>
    <w:rsid w:val="00703517"/>
    <w:rsid w:val="00703D26"/>
    <w:rsid w:val="00705587"/>
    <w:rsid w:val="007079A6"/>
    <w:rsid w:val="00707D35"/>
    <w:rsid w:val="00710DCB"/>
    <w:rsid w:val="00715623"/>
    <w:rsid w:val="007164FE"/>
    <w:rsid w:val="007167E6"/>
    <w:rsid w:val="00721CA0"/>
    <w:rsid w:val="0072360B"/>
    <w:rsid w:val="0072560D"/>
    <w:rsid w:val="0072738A"/>
    <w:rsid w:val="007275A9"/>
    <w:rsid w:val="00730D6E"/>
    <w:rsid w:val="00731673"/>
    <w:rsid w:val="00731D80"/>
    <w:rsid w:val="007338EA"/>
    <w:rsid w:val="00733E23"/>
    <w:rsid w:val="00740A54"/>
    <w:rsid w:val="00741462"/>
    <w:rsid w:val="00743C15"/>
    <w:rsid w:val="00744416"/>
    <w:rsid w:val="0074482D"/>
    <w:rsid w:val="00745F74"/>
    <w:rsid w:val="00746FA6"/>
    <w:rsid w:val="007530F4"/>
    <w:rsid w:val="0075504B"/>
    <w:rsid w:val="007560BA"/>
    <w:rsid w:val="007604E9"/>
    <w:rsid w:val="007617F0"/>
    <w:rsid w:val="00763561"/>
    <w:rsid w:val="00763DD2"/>
    <w:rsid w:val="00765885"/>
    <w:rsid w:val="0076645F"/>
    <w:rsid w:val="00774291"/>
    <w:rsid w:val="00781140"/>
    <w:rsid w:val="00784248"/>
    <w:rsid w:val="007848E7"/>
    <w:rsid w:val="00784937"/>
    <w:rsid w:val="0078530F"/>
    <w:rsid w:val="00786657"/>
    <w:rsid w:val="007905E2"/>
    <w:rsid w:val="00790870"/>
    <w:rsid w:val="007A0FB5"/>
    <w:rsid w:val="007A2670"/>
    <w:rsid w:val="007A4C5C"/>
    <w:rsid w:val="007B0623"/>
    <w:rsid w:val="007B0FA6"/>
    <w:rsid w:val="007B2224"/>
    <w:rsid w:val="007B2BCA"/>
    <w:rsid w:val="007B3D15"/>
    <w:rsid w:val="007B58FE"/>
    <w:rsid w:val="007C29C6"/>
    <w:rsid w:val="007C608C"/>
    <w:rsid w:val="007D02D8"/>
    <w:rsid w:val="007D314A"/>
    <w:rsid w:val="007D32AF"/>
    <w:rsid w:val="007D5741"/>
    <w:rsid w:val="007D6EF7"/>
    <w:rsid w:val="007D7131"/>
    <w:rsid w:val="007E1885"/>
    <w:rsid w:val="007E1D37"/>
    <w:rsid w:val="007E22EE"/>
    <w:rsid w:val="007E368E"/>
    <w:rsid w:val="007E3A9E"/>
    <w:rsid w:val="007E500D"/>
    <w:rsid w:val="007F051B"/>
    <w:rsid w:val="007F0D2C"/>
    <w:rsid w:val="007F3FA1"/>
    <w:rsid w:val="007F5361"/>
    <w:rsid w:val="007F7986"/>
    <w:rsid w:val="00800AFB"/>
    <w:rsid w:val="00800D5C"/>
    <w:rsid w:val="008014CA"/>
    <w:rsid w:val="0080170F"/>
    <w:rsid w:val="00804526"/>
    <w:rsid w:val="00804FE3"/>
    <w:rsid w:val="0080572D"/>
    <w:rsid w:val="00812EAB"/>
    <w:rsid w:val="008232DD"/>
    <w:rsid w:val="00823BA4"/>
    <w:rsid w:val="008241CC"/>
    <w:rsid w:val="0082469A"/>
    <w:rsid w:val="00824E14"/>
    <w:rsid w:val="00827622"/>
    <w:rsid w:val="00832A74"/>
    <w:rsid w:val="008333C1"/>
    <w:rsid w:val="00842018"/>
    <w:rsid w:val="00842B8D"/>
    <w:rsid w:val="00843EEF"/>
    <w:rsid w:val="00846DE4"/>
    <w:rsid w:val="00846E2F"/>
    <w:rsid w:val="00850859"/>
    <w:rsid w:val="008512F1"/>
    <w:rsid w:val="0085135B"/>
    <w:rsid w:val="00851B3E"/>
    <w:rsid w:val="00852AD0"/>
    <w:rsid w:val="0085689F"/>
    <w:rsid w:val="00857F0A"/>
    <w:rsid w:val="00860709"/>
    <w:rsid w:val="00860F4F"/>
    <w:rsid w:val="008615CD"/>
    <w:rsid w:val="00863C41"/>
    <w:rsid w:val="00864474"/>
    <w:rsid w:val="0086471F"/>
    <w:rsid w:val="00866C95"/>
    <w:rsid w:val="008714FD"/>
    <w:rsid w:val="00873BCC"/>
    <w:rsid w:val="00873E07"/>
    <w:rsid w:val="008750C1"/>
    <w:rsid w:val="00875872"/>
    <w:rsid w:val="008761B2"/>
    <w:rsid w:val="008773FF"/>
    <w:rsid w:val="0088118F"/>
    <w:rsid w:val="00884DA7"/>
    <w:rsid w:val="008867F4"/>
    <w:rsid w:val="008875A1"/>
    <w:rsid w:val="00891419"/>
    <w:rsid w:val="008945FC"/>
    <w:rsid w:val="008953E5"/>
    <w:rsid w:val="008A1348"/>
    <w:rsid w:val="008A1803"/>
    <w:rsid w:val="008A5514"/>
    <w:rsid w:val="008B0044"/>
    <w:rsid w:val="008B0D0C"/>
    <w:rsid w:val="008B19C0"/>
    <w:rsid w:val="008B3702"/>
    <w:rsid w:val="008B3E2B"/>
    <w:rsid w:val="008B747C"/>
    <w:rsid w:val="008B7B1C"/>
    <w:rsid w:val="008C0799"/>
    <w:rsid w:val="008C259B"/>
    <w:rsid w:val="008C3056"/>
    <w:rsid w:val="008C5AC4"/>
    <w:rsid w:val="008D0C8A"/>
    <w:rsid w:val="008D242C"/>
    <w:rsid w:val="008D5051"/>
    <w:rsid w:val="008E121B"/>
    <w:rsid w:val="008E13B5"/>
    <w:rsid w:val="008E39CC"/>
    <w:rsid w:val="008E53F5"/>
    <w:rsid w:val="008E6FAD"/>
    <w:rsid w:val="008F0EAB"/>
    <w:rsid w:val="008F14C5"/>
    <w:rsid w:val="008F1711"/>
    <w:rsid w:val="008F1C1B"/>
    <w:rsid w:val="008F1C52"/>
    <w:rsid w:val="008F35BC"/>
    <w:rsid w:val="008F3923"/>
    <w:rsid w:val="008F4A41"/>
    <w:rsid w:val="008F518B"/>
    <w:rsid w:val="008F536A"/>
    <w:rsid w:val="008F690A"/>
    <w:rsid w:val="008F77D4"/>
    <w:rsid w:val="00900AFF"/>
    <w:rsid w:val="00903824"/>
    <w:rsid w:val="009039E5"/>
    <w:rsid w:val="0090486A"/>
    <w:rsid w:val="00905CD9"/>
    <w:rsid w:val="00905FD5"/>
    <w:rsid w:val="0090796D"/>
    <w:rsid w:val="00907AD1"/>
    <w:rsid w:val="00910435"/>
    <w:rsid w:val="009109FA"/>
    <w:rsid w:val="00911479"/>
    <w:rsid w:val="00911565"/>
    <w:rsid w:val="00911F22"/>
    <w:rsid w:val="0091330B"/>
    <w:rsid w:val="00914BDB"/>
    <w:rsid w:val="009208B6"/>
    <w:rsid w:val="009210C3"/>
    <w:rsid w:val="00921826"/>
    <w:rsid w:val="0092237A"/>
    <w:rsid w:val="00922568"/>
    <w:rsid w:val="0092488C"/>
    <w:rsid w:val="009267F5"/>
    <w:rsid w:val="00926F03"/>
    <w:rsid w:val="00932AA1"/>
    <w:rsid w:val="00935FDB"/>
    <w:rsid w:val="00937EFE"/>
    <w:rsid w:val="00940E53"/>
    <w:rsid w:val="009416A0"/>
    <w:rsid w:val="0094513D"/>
    <w:rsid w:val="00946257"/>
    <w:rsid w:val="009477DB"/>
    <w:rsid w:val="0095232A"/>
    <w:rsid w:val="00952E40"/>
    <w:rsid w:val="00953BBA"/>
    <w:rsid w:val="00955F48"/>
    <w:rsid w:val="00960365"/>
    <w:rsid w:val="009607D6"/>
    <w:rsid w:val="00961393"/>
    <w:rsid w:val="009640CE"/>
    <w:rsid w:val="0096619E"/>
    <w:rsid w:val="00967F21"/>
    <w:rsid w:val="00974108"/>
    <w:rsid w:val="00975105"/>
    <w:rsid w:val="009817C4"/>
    <w:rsid w:val="00986C3F"/>
    <w:rsid w:val="00991645"/>
    <w:rsid w:val="00991DAA"/>
    <w:rsid w:val="00997B85"/>
    <w:rsid w:val="009A315C"/>
    <w:rsid w:val="009A3FFC"/>
    <w:rsid w:val="009B1969"/>
    <w:rsid w:val="009C0D74"/>
    <w:rsid w:val="009C153D"/>
    <w:rsid w:val="009C16B4"/>
    <w:rsid w:val="009C24E0"/>
    <w:rsid w:val="009C7DFD"/>
    <w:rsid w:val="009D0FA3"/>
    <w:rsid w:val="009D2460"/>
    <w:rsid w:val="009E482C"/>
    <w:rsid w:val="009E7E4B"/>
    <w:rsid w:val="009F35D1"/>
    <w:rsid w:val="009F3C9C"/>
    <w:rsid w:val="009F434F"/>
    <w:rsid w:val="009F51C5"/>
    <w:rsid w:val="009F528C"/>
    <w:rsid w:val="00A00D97"/>
    <w:rsid w:val="00A0508F"/>
    <w:rsid w:val="00A05581"/>
    <w:rsid w:val="00A15A7A"/>
    <w:rsid w:val="00A16AA1"/>
    <w:rsid w:val="00A17B7B"/>
    <w:rsid w:val="00A236D7"/>
    <w:rsid w:val="00A243F7"/>
    <w:rsid w:val="00A2645A"/>
    <w:rsid w:val="00A272B1"/>
    <w:rsid w:val="00A329EC"/>
    <w:rsid w:val="00A40326"/>
    <w:rsid w:val="00A4087A"/>
    <w:rsid w:val="00A40C29"/>
    <w:rsid w:val="00A4321D"/>
    <w:rsid w:val="00A47A4D"/>
    <w:rsid w:val="00A50520"/>
    <w:rsid w:val="00A506D9"/>
    <w:rsid w:val="00A510C4"/>
    <w:rsid w:val="00A5333C"/>
    <w:rsid w:val="00A55165"/>
    <w:rsid w:val="00A56C85"/>
    <w:rsid w:val="00A56E4A"/>
    <w:rsid w:val="00A6193A"/>
    <w:rsid w:val="00A6228E"/>
    <w:rsid w:val="00A70AE0"/>
    <w:rsid w:val="00A716EF"/>
    <w:rsid w:val="00A74286"/>
    <w:rsid w:val="00A753D3"/>
    <w:rsid w:val="00A767D3"/>
    <w:rsid w:val="00A77310"/>
    <w:rsid w:val="00A86507"/>
    <w:rsid w:val="00A87FF1"/>
    <w:rsid w:val="00A92374"/>
    <w:rsid w:val="00A92650"/>
    <w:rsid w:val="00A94AFD"/>
    <w:rsid w:val="00A955EB"/>
    <w:rsid w:val="00A955F6"/>
    <w:rsid w:val="00A95F83"/>
    <w:rsid w:val="00A96F67"/>
    <w:rsid w:val="00A9714E"/>
    <w:rsid w:val="00A97311"/>
    <w:rsid w:val="00A97517"/>
    <w:rsid w:val="00AA383B"/>
    <w:rsid w:val="00AA4052"/>
    <w:rsid w:val="00AA4581"/>
    <w:rsid w:val="00AA66C4"/>
    <w:rsid w:val="00AB2170"/>
    <w:rsid w:val="00AB487E"/>
    <w:rsid w:val="00AB4A88"/>
    <w:rsid w:val="00AB729C"/>
    <w:rsid w:val="00AB7488"/>
    <w:rsid w:val="00AB782F"/>
    <w:rsid w:val="00AC230A"/>
    <w:rsid w:val="00AC3110"/>
    <w:rsid w:val="00AC39E2"/>
    <w:rsid w:val="00AC4C47"/>
    <w:rsid w:val="00AC4DB8"/>
    <w:rsid w:val="00AD15B5"/>
    <w:rsid w:val="00AD196F"/>
    <w:rsid w:val="00AD2FC2"/>
    <w:rsid w:val="00AD35B0"/>
    <w:rsid w:val="00AD3C3C"/>
    <w:rsid w:val="00AD6E9D"/>
    <w:rsid w:val="00AE1C62"/>
    <w:rsid w:val="00AE23CD"/>
    <w:rsid w:val="00AE29E7"/>
    <w:rsid w:val="00AE546C"/>
    <w:rsid w:val="00AE6C75"/>
    <w:rsid w:val="00AE7A37"/>
    <w:rsid w:val="00AF16FE"/>
    <w:rsid w:val="00AF1843"/>
    <w:rsid w:val="00AF23B4"/>
    <w:rsid w:val="00AF4CD6"/>
    <w:rsid w:val="00AF66A2"/>
    <w:rsid w:val="00AF7501"/>
    <w:rsid w:val="00AF7BDB"/>
    <w:rsid w:val="00B001C9"/>
    <w:rsid w:val="00B01DA4"/>
    <w:rsid w:val="00B037E2"/>
    <w:rsid w:val="00B063A3"/>
    <w:rsid w:val="00B10001"/>
    <w:rsid w:val="00B100BA"/>
    <w:rsid w:val="00B10941"/>
    <w:rsid w:val="00B136A1"/>
    <w:rsid w:val="00B22119"/>
    <w:rsid w:val="00B2360A"/>
    <w:rsid w:val="00B2633B"/>
    <w:rsid w:val="00B3095F"/>
    <w:rsid w:val="00B309AB"/>
    <w:rsid w:val="00B321BC"/>
    <w:rsid w:val="00B3288A"/>
    <w:rsid w:val="00B34745"/>
    <w:rsid w:val="00B34CDD"/>
    <w:rsid w:val="00B3664D"/>
    <w:rsid w:val="00B37CD9"/>
    <w:rsid w:val="00B41910"/>
    <w:rsid w:val="00B424CF"/>
    <w:rsid w:val="00B453D2"/>
    <w:rsid w:val="00B51D24"/>
    <w:rsid w:val="00B530C1"/>
    <w:rsid w:val="00B56E87"/>
    <w:rsid w:val="00B576FC"/>
    <w:rsid w:val="00B57D0B"/>
    <w:rsid w:val="00B603F7"/>
    <w:rsid w:val="00B60F50"/>
    <w:rsid w:val="00B6128F"/>
    <w:rsid w:val="00B616EF"/>
    <w:rsid w:val="00B625B4"/>
    <w:rsid w:val="00B6349F"/>
    <w:rsid w:val="00B63630"/>
    <w:rsid w:val="00B63BA9"/>
    <w:rsid w:val="00B64A67"/>
    <w:rsid w:val="00B72B8D"/>
    <w:rsid w:val="00B72F37"/>
    <w:rsid w:val="00B76119"/>
    <w:rsid w:val="00B7637A"/>
    <w:rsid w:val="00B771AF"/>
    <w:rsid w:val="00B775FF"/>
    <w:rsid w:val="00B8110A"/>
    <w:rsid w:val="00B85488"/>
    <w:rsid w:val="00B87E3E"/>
    <w:rsid w:val="00B935DA"/>
    <w:rsid w:val="00B978BA"/>
    <w:rsid w:val="00BA0874"/>
    <w:rsid w:val="00BA215D"/>
    <w:rsid w:val="00BA4CD1"/>
    <w:rsid w:val="00BA4F5F"/>
    <w:rsid w:val="00BA57CD"/>
    <w:rsid w:val="00BA70C0"/>
    <w:rsid w:val="00BA739E"/>
    <w:rsid w:val="00BB61C2"/>
    <w:rsid w:val="00BB6F5E"/>
    <w:rsid w:val="00BB77AA"/>
    <w:rsid w:val="00BC0A44"/>
    <w:rsid w:val="00BC0D8E"/>
    <w:rsid w:val="00BC13B0"/>
    <w:rsid w:val="00BC3828"/>
    <w:rsid w:val="00BC53FE"/>
    <w:rsid w:val="00BD07E1"/>
    <w:rsid w:val="00BD2209"/>
    <w:rsid w:val="00BD6305"/>
    <w:rsid w:val="00BE1624"/>
    <w:rsid w:val="00BE18BE"/>
    <w:rsid w:val="00BE29C7"/>
    <w:rsid w:val="00BE2EEB"/>
    <w:rsid w:val="00BE665C"/>
    <w:rsid w:val="00BE6EAE"/>
    <w:rsid w:val="00BF09FC"/>
    <w:rsid w:val="00BF2E1F"/>
    <w:rsid w:val="00BF56C3"/>
    <w:rsid w:val="00BF6930"/>
    <w:rsid w:val="00BF7107"/>
    <w:rsid w:val="00BF7C90"/>
    <w:rsid w:val="00BF7D99"/>
    <w:rsid w:val="00C00879"/>
    <w:rsid w:val="00C0233D"/>
    <w:rsid w:val="00C05BB4"/>
    <w:rsid w:val="00C0636B"/>
    <w:rsid w:val="00C10A6A"/>
    <w:rsid w:val="00C14EDB"/>
    <w:rsid w:val="00C151C2"/>
    <w:rsid w:val="00C15EB6"/>
    <w:rsid w:val="00C16A3E"/>
    <w:rsid w:val="00C20501"/>
    <w:rsid w:val="00C20BD0"/>
    <w:rsid w:val="00C22BE1"/>
    <w:rsid w:val="00C24755"/>
    <w:rsid w:val="00C25CE0"/>
    <w:rsid w:val="00C260DC"/>
    <w:rsid w:val="00C2630E"/>
    <w:rsid w:val="00C26E8C"/>
    <w:rsid w:val="00C27704"/>
    <w:rsid w:val="00C27F0A"/>
    <w:rsid w:val="00C32671"/>
    <w:rsid w:val="00C33D41"/>
    <w:rsid w:val="00C34D4D"/>
    <w:rsid w:val="00C35A92"/>
    <w:rsid w:val="00C36108"/>
    <w:rsid w:val="00C37A98"/>
    <w:rsid w:val="00C41111"/>
    <w:rsid w:val="00C41172"/>
    <w:rsid w:val="00C44FAA"/>
    <w:rsid w:val="00C45321"/>
    <w:rsid w:val="00C47717"/>
    <w:rsid w:val="00C504DE"/>
    <w:rsid w:val="00C50761"/>
    <w:rsid w:val="00C55B11"/>
    <w:rsid w:val="00C57733"/>
    <w:rsid w:val="00C6037B"/>
    <w:rsid w:val="00C61A31"/>
    <w:rsid w:val="00C624D6"/>
    <w:rsid w:val="00C64234"/>
    <w:rsid w:val="00C71FC6"/>
    <w:rsid w:val="00C72672"/>
    <w:rsid w:val="00C7386D"/>
    <w:rsid w:val="00C74971"/>
    <w:rsid w:val="00C767AB"/>
    <w:rsid w:val="00C775B2"/>
    <w:rsid w:val="00C77E14"/>
    <w:rsid w:val="00C809F3"/>
    <w:rsid w:val="00C83632"/>
    <w:rsid w:val="00C84BD6"/>
    <w:rsid w:val="00C84E7D"/>
    <w:rsid w:val="00C86EEC"/>
    <w:rsid w:val="00C94826"/>
    <w:rsid w:val="00C9528F"/>
    <w:rsid w:val="00CA33B6"/>
    <w:rsid w:val="00CA34E4"/>
    <w:rsid w:val="00CA378E"/>
    <w:rsid w:val="00CA3BB1"/>
    <w:rsid w:val="00CA4F48"/>
    <w:rsid w:val="00CA5B08"/>
    <w:rsid w:val="00CB1616"/>
    <w:rsid w:val="00CB45D7"/>
    <w:rsid w:val="00CB46A8"/>
    <w:rsid w:val="00CB601F"/>
    <w:rsid w:val="00CC0B25"/>
    <w:rsid w:val="00CC1087"/>
    <w:rsid w:val="00CC404E"/>
    <w:rsid w:val="00CC5252"/>
    <w:rsid w:val="00CC6F52"/>
    <w:rsid w:val="00CD32F5"/>
    <w:rsid w:val="00CD52B2"/>
    <w:rsid w:val="00CD52DD"/>
    <w:rsid w:val="00CD5F8C"/>
    <w:rsid w:val="00CE0B08"/>
    <w:rsid w:val="00CE236A"/>
    <w:rsid w:val="00CE642D"/>
    <w:rsid w:val="00CE7794"/>
    <w:rsid w:val="00CF20FF"/>
    <w:rsid w:val="00CF3F58"/>
    <w:rsid w:val="00CF58EB"/>
    <w:rsid w:val="00D00BF3"/>
    <w:rsid w:val="00D03685"/>
    <w:rsid w:val="00D049E5"/>
    <w:rsid w:val="00D04B35"/>
    <w:rsid w:val="00D065E2"/>
    <w:rsid w:val="00D07ECC"/>
    <w:rsid w:val="00D10197"/>
    <w:rsid w:val="00D10311"/>
    <w:rsid w:val="00D137AB"/>
    <w:rsid w:val="00D13D15"/>
    <w:rsid w:val="00D17E5D"/>
    <w:rsid w:val="00D21193"/>
    <w:rsid w:val="00D2350D"/>
    <w:rsid w:val="00D244D2"/>
    <w:rsid w:val="00D24744"/>
    <w:rsid w:val="00D26B6C"/>
    <w:rsid w:val="00D26C13"/>
    <w:rsid w:val="00D274B3"/>
    <w:rsid w:val="00D32DFB"/>
    <w:rsid w:val="00D3387B"/>
    <w:rsid w:val="00D354BA"/>
    <w:rsid w:val="00D3650F"/>
    <w:rsid w:val="00D409EA"/>
    <w:rsid w:val="00D4231E"/>
    <w:rsid w:val="00D439F2"/>
    <w:rsid w:val="00D45E6E"/>
    <w:rsid w:val="00D47AA1"/>
    <w:rsid w:val="00D47BF5"/>
    <w:rsid w:val="00D550E7"/>
    <w:rsid w:val="00D5644F"/>
    <w:rsid w:val="00D571A7"/>
    <w:rsid w:val="00D5787C"/>
    <w:rsid w:val="00D578A5"/>
    <w:rsid w:val="00D6339C"/>
    <w:rsid w:val="00D6481B"/>
    <w:rsid w:val="00D65056"/>
    <w:rsid w:val="00D66C1F"/>
    <w:rsid w:val="00D81DFA"/>
    <w:rsid w:val="00D8712F"/>
    <w:rsid w:val="00D878AC"/>
    <w:rsid w:val="00D87E72"/>
    <w:rsid w:val="00D87F14"/>
    <w:rsid w:val="00D9196E"/>
    <w:rsid w:val="00D939A9"/>
    <w:rsid w:val="00D93EAA"/>
    <w:rsid w:val="00D97210"/>
    <w:rsid w:val="00DA22BB"/>
    <w:rsid w:val="00DA4EBF"/>
    <w:rsid w:val="00DA64A0"/>
    <w:rsid w:val="00DA7794"/>
    <w:rsid w:val="00DB50D4"/>
    <w:rsid w:val="00DC03AA"/>
    <w:rsid w:val="00DC2365"/>
    <w:rsid w:val="00DC5352"/>
    <w:rsid w:val="00DC6656"/>
    <w:rsid w:val="00DC79D9"/>
    <w:rsid w:val="00DD2132"/>
    <w:rsid w:val="00DD25C1"/>
    <w:rsid w:val="00DD26DB"/>
    <w:rsid w:val="00DD62CD"/>
    <w:rsid w:val="00DE08F8"/>
    <w:rsid w:val="00DE0935"/>
    <w:rsid w:val="00DE29CA"/>
    <w:rsid w:val="00DE2EE4"/>
    <w:rsid w:val="00DE35E2"/>
    <w:rsid w:val="00DE7BA8"/>
    <w:rsid w:val="00DF0D01"/>
    <w:rsid w:val="00DF27B6"/>
    <w:rsid w:val="00DF496B"/>
    <w:rsid w:val="00DF5B36"/>
    <w:rsid w:val="00DF737F"/>
    <w:rsid w:val="00DF76B2"/>
    <w:rsid w:val="00DF7CF5"/>
    <w:rsid w:val="00E00CFF"/>
    <w:rsid w:val="00E018AE"/>
    <w:rsid w:val="00E03465"/>
    <w:rsid w:val="00E07215"/>
    <w:rsid w:val="00E100F1"/>
    <w:rsid w:val="00E10E51"/>
    <w:rsid w:val="00E1550E"/>
    <w:rsid w:val="00E16CE9"/>
    <w:rsid w:val="00E1764E"/>
    <w:rsid w:val="00E2208D"/>
    <w:rsid w:val="00E23248"/>
    <w:rsid w:val="00E23D39"/>
    <w:rsid w:val="00E24C0E"/>
    <w:rsid w:val="00E30A43"/>
    <w:rsid w:val="00E30E5E"/>
    <w:rsid w:val="00E3492F"/>
    <w:rsid w:val="00E36143"/>
    <w:rsid w:val="00E411B3"/>
    <w:rsid w:val="00E44207"/>
    <w:rsid w:val="00E50354"/>
    <w:rsid w:val="00E50AF6"/>
    <w:rsid w:val="00E52705"/>
    <w:rsid w:val="00E53188"/>
    <w:rsid w:val="00E5532F"/>
    <w:rsid w:val="00E55E31"/>
    <w:rsid w:val="00E5639B"/>
    <w:rsid w:val="00E57757"/>
    <w:rsid w:val="00E60DA7"/>
    <w:rsid w:val="00E65225"/>
    <w:rsid w:val="00E652E9"/>
    <w:rsid w:val="00E66D44"/>
    <w:rsid w:val="00E71A0D"/>
    <w:rsid w:val="00E73174"/>
    <w:rsid w:val="00E755F1"/>
    <w:rsid w:val="00E76976"/>
    <w:rsid w:val="00E804EF"/>
    <w:rsid w:val="00E871FF"/>
    <w:rsid w:val="00E8720C"/>
    <w:rsid w:val="00E91A83"/>
    <w:rsid w:val="00E93E3B"/>
    <w:rsid w:val="00E94322"/>
    <w:rsid w:val="00E95BA2"/>
    <w:rsid w:val="00EA1896"/>
    <w:rsid w:val="00EA1F5F"/>
    <w:rsid w:val="00EA471D"/>
    <w:rsid w:val="00EA4CE9"/>
    <w:rsid w:val="00EA70E9"/>
    <w:rsid w:val="00EA74D1"/>
    <w:rsid w:val="00EA7DD4"/>
    <w:rsid w:val="00EA7EB2"/>
    <w:rsid w:val="00EB071F"/>
    <w:rsid w:val="00EB08A2"/>
    <w:rsid w:val="00EB2492"/>
    <w:rsid w:val="00EB26F6"/>
    <w:rsid w:val="00EB3313"/>
    <w:rsid w:val="00EB3A44"/>
    <w:rsid w:val="00EC186E"/>
    <w:rsid w:val="00EC1960"/>
    <w:rsid w:val="00EC2093"/>
    <w:rsid w:val="00EC4C0A"/>
    <w:rsid w:val="00ED0D8E"/>
    <w:rsid w:val="00ED37B8"/>
    <w:rsid w:val="00ED3843"/>
    <w:rsid w:val="00ED50B6"/>
    <w:rsid w:val="00ED55D6"/>
    <w:rsid w:val="00EE134D"/>
    <w:rsid w:val="00EE323C"/>
    <w:rsid w:val="00EE3BC7"/>
    <w:rsid w:val="00EF06B6"/>
    <w:rsid w:val="00EF4BAC"/>
    <w:rsid w:val="00F00102"/>
    <w:rsid w:val="00F014A6"/>
    <w:rsid w:val="00F0266A"/>
    <w:rsid w:val="00F02B3F"/>
    <w:rsid w:val="00F10549"/>
    <w:rsid w:val="00F1104F"/>
    <w:rsid w:val="00F1109E"/>
    <w:rsid w:val="00F11112"/>
    <w:rsid w:val="00F21109"/>
    <w:rsid w:val="00F2384E"/>
    <w:rsid w:val="00F27E0C"/>
    <w:rsid w:val="00F31B2D"/>
    <w:rsid w:val="00F34F79"/>
    <w:rsid w:val="00F35113"/>
    <w:rsid w:val="00F3718C"/>
    <w:rsid w:val="00F4064D"/>
    <w:rsid w:val="00F412FF"/>
    <w:rsid w:val="00F46E41"/>
    <w:rsid w:val="00F46F79"/>
    <w:rsid w:val="00F52324"/>
    <w:rsid w:val="00F52CDF"/>
    <w:rsid w:val="00F56787"/>
    <w:rsid w:val="00F61A2D"/>
    <w:rsid w:val="00F6692C"/>
    <w:rsid w:val="00F6774A"/>
    <w:rsid w:val="00F67FAB"/>
    <w:rsid w:val="00F70791"/>
    <w:rsid w:val="00F72A58"/>
    <w:rsid w:val="00F72DDB"/>
    <w:rsid w:val="00F75812"/>
    <w:rsid w:val="00F81A60"/>
    <w:rsid w:val="00F827FB"/>
    <w:rsid w:val="00F86579"/>
    <w:rsid w:val="00F9057F"/>
    <w:rsid w:val="00F93A92"/>
    <w:rsid w:val="00F93F41"/>
    <w:rsid w:val="00F94713"/>
    <w:rsid w:val="00F95C2D"/>
    <w:rsid w:val="00F97580"/>
    <w:rsid w:val="00F9765A"/>
    <w:rsid w:val="00FA17A0"/>
    <w:rsid w:val="00FA1BDD"/>
    <w:rsid w:val="00FA437C"/>
    <w:rsid w:val="00FB6D40"/>
    <w:rsid w:val="00FB70BF"/>
    <w:rsid w:val="00FB784C"/>
    <w:rsid w:val="00FC0586"/>
    <w:rsid w:val="00FC4140"/>
    <w:rsid w:val="00FC4D46"/>
    <w:rsid w:val="00FC511F"/>
    <w:rsid w:val="00FC6FA1"/>
    <w:rsid w:val="00FC7FC4"/>
    <w:rsid w:val="00FD2441"/>
    <w:rsid w:val="00FD290C"/>
    <w:rsid w:val="00FD2B45"/>
    <w:rsid w:val="00FD494D"/>
    <w:rsid w:val="00FD4C8C"/>
    <w:rsid w:val="00FD68CA"/>
    <w:rsid w:val="00FE3969"/>
    <w:rsid w:val="00FE4246"/>
    <w:rsid w:val="00FE55F0"/>
    <w:rsid w:val="00FF0FF6"/>
    <w:rsid w:val="00FF1B1C"/>
    <w:rsid w:val="00FF320B"/>
    <w:rsid w:val="020E5D2E"/>
    <w:rsid w:val="02870FFB"/>
    <w:rsid w:val="0A7342C4"/>
    <w:rsid w:val="0B2D7AEF"/>
    <w:rsid w:val="0BA26EC0"/>
    <w:rsid w:val="12DC5E1B"/>
    <w:rsid w:val="14F533C5"/>
    <w:rsid w:val="189C6F6D"/>
    <w:rsid w:val="19BC2439"/>
    <w:rsid w:val="1C081270"/>
    <w:rsid w:val="1E7E254F"/>
    <w:rsid w:val="1EF67EE0"/>
    <w:rsid w:val="20DC119A"/>
    <w:rsid w:val="25782472"/>
    <w:rsid w:val="26807DE8"/>
    <w:rsid w:val="2A4B467C"/>
    <w:rsid w:val="2B17364B"/>
    <w:rsid w:val="2C4455C4"/>
    <w:rsid w:val="2EDB31AF"/>
    <w:rsid w:val="30580A87"/>
    <w:rsid w:val="35FB7562"/>
    <w:rsid w:val="383E695E"/>
    <w:rsid w:val="3A117111"/>
    <w:rsid w:val="3D1814DB"/>
    <w:rsid w:val="3F4E5C15"/>
    <w:rsid w:val="45B61222"/>
    <w:rsid w:val="4A24216D"/>
    <w:rsid w:val="4BF84760"/>
    <w:rsid w:val="4E044FE2"/>
    <w:rsid w:val="4EE26756"/>
    <w:rsid w:val="52B02771"/>
    <w:rsid w:val="53BA7F19"/>
    <w:rsid w:val="55FF5D49"/>
    <w:rsid w:val="5B81391E"/>
    <w:rsid w:val="5DC4518D"/>
    <w:rsid w:val="5E580827"/>
    <w:rsid w:val="60B25678"/>
    <w:rsid w:val="63680C39"/>
    <w:rsid w:val="6B8467A7"/>
    <w:rsid w:val="743C4F03"/>
    <w:rsid w:val="752133B5"/>
    <w:rsid w:val="76EC16BE"/>
    <w:rsid w:val="7721637E"/>
    <w:rsid w:val="7ABC049B"/>
    <w:rsid w:val="7EA05F5C"/>
    <w:rsid w:val="7FCB0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keepLines/>
      <w:spacing w:line="360" w:lineRule="auto"/>
      <w:ind w:firstLine="200" w:firstLineChars="200"/>
      <w:outlineLvl w:val="0"/>
    </w:pPr>
    <w:rPr>
      <w:rFonts w:ascii="Calibri" w:hAnsi="Calibri" w:eastAsia="黑体" w:cs="Times New Roman"/>
      <w:b/>
      <w:bCs/>
      <w:kern w:val="44"/>
      <w:sz w:val="44"/>
      <w:szCs w:val="44"/>
    </w:rPr>
  </w:style>
  <w:style w:type="paragraph" w:styleId="3">
    <w:name w:val="heading 2"/>
    <w:basedOn w:val="1"/>
    <w:next w:val="1"/>
    <w:link w:val="58"/>
    <w:qFormat/>
    <w:uiPriority w:val="9"/>
    <w:pPr>
      <w:keepNext/>
      <w:keepLines/>
      <w:tabs>
        <w:tab w:val="left" w:pos="708"/>
      </w:tabs>
      <w:spacing w:line="360" w:lineRule="auto"/>
      <w:textAlignment w:val="baseline"/>
      <w:outlineLvl w:val="1"/>
    </w:pPr>
    <w:rPr>
      <w:rFonts w:ascii="Arial" w:hAnsi="Arial" w:eastAsia="黑体" w:cs="Times New Roman"/>
      <w:b/>
      <w:bCs/>
      <w:kern w:val="0"/>
      <w:sz w:val="28"/>
      <w:szCs w:val="32"/>
    </w:rPr>
  </w:style>
  <w:style w:type="paragraph" w:styleId="4">
    <w:name w:val="heading 3"/>
    <w:basedOn w:val="1"/>
    <w:next w:val="1"/>
    <w:link w:val="59"/>
    <w:qFormat/>
    <w:uiPriority w:val="9"/>
    <w:pPr>
      <w:keepNext/>
      <w:keepLines/>
      <w:tabs>
        <w:tab w:val="left" w:pos="1418"/>
      </w:tabs>
      <w:spacing w:before="260" w:after="260" w:line="416" w:lineRule="auto"/>
      <w:ind w:firstLine="284"/>
      <w:outlineLvl w:val="2"/>
    </w:pPr>
    <w:rPr>
      <w:rFonts w:ascii="Calibri" w:hAnsi="Calibri" w:eastAsia="宋体" w:cs="Times New Roman"/>
      <w:b/>
      <w:bCs/>
      <w:kern w:val="0"/>
      <w:sz w:val="32"/>
      <w:szCs w:val="32"/>
    </w:rPr>
  </w:style>
  <w:style w:type="paragraph" w:styleId="5">
    <w:name w:val="heading 4"/>
    <w:basedOn w:val="1"/>
    <w:next w:val="1"/>
    <w:link w:val="60"/>
    <w:qFormat/>
    <w:uiPriority w:val="9"/>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61"/>
    <w:qFormat/>
    <w:uiPriority w:val="0"/>
    <w:pPr>
      <w:keepNext/>
      <w:keepLines/>
      <w:tabs>
        <w:tab w:val="left" w:pos="1008"/>
      </w:tabs>
      <w:spacing w:before="280" w:after="290" w:line="376" w:lineRule="auto"/>
      <w:ind w:left="1008" w:hanging="1008"/>
      <w:outlineLvl w:val="4"/>
    </w:pPr>
    <w:rPr>
      <w:rFonts w:ascii="Times New Roman" w:hAnsi="Times New Roman" w:eastAsia="黑体" w:cs="Times New Roman"/>
      <w:bCs/>
      <w:sz w:val="24"/>
      <w:szCs w:val="28"/>
    </w:rPr>
  </w:style>
  <w:style w:type="paragraph" w:styleId="7">
    <w:name w:val="heading 6"/>
    <w:basedOn w:val="1"/>
    <w:next w:val="1"/>
    <w:link w:val="62"/>
    <w:qFormat/>
    <w:uiPriority w:val="0"/>
    <w:pPr>
      <w:keepNext/>
      <w:keepLines/>
      <w:tabs>
        <w:tab w:val="left" w:pos="1152"/>
      </w:tabs>
      <w:spacing w:before="240" w:after="64" w:line="320" w:lineRule="auto"/>
      <w:ind w:left="1152" w:hanging="1152"/>
      <w:outlineLvl w:val="5"/>
    </w:pPr>
    <w:rPr>
      <w:rFonts w:ascii="Arial" w:hAnsi="Arial" w:eastAsia="黑体" w:cs="Times New Roman"/>
      <w:bCs/>
      <w:szCs w:val="24"/>
    </w:rPr>
  </w:style>
  <w:style w:type="paragraph" w:styleId="8">
    <w:name w:val="heading 7"/>
    <w:basedOn w:val="1"/>
    <w:next w:val="1"/>
    <w:link w:val="63"/>
    <w:qFormat/>
    <w:uiPriority w:val="0"/>
    <w:pPr>
      <w:keepNext/>
      <w:keepLines/>
      <w:tabs>
        <w:tab w:val="left" w:pos="2520"/>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4"/>
    <w:qFormat/>
    <w:uiPriority w:val="0"/>
    <w:pPr>
      <w:keepNext/>
      <w:keepLines/>
      <w:tabs>
        <w:tab w:val="left" w:pos="288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65"/>
    <w:qFormat/>
    <w:uiPriority w:val="0"/>
    <w:pPr>
      <w:keepNext/>
      <w:keepLines/>
      <w:tabs>
        <w:tab w:val="left" w:pos="2880"/>
      </w:tabs>
      <w:spacing w:before="240" w:after="64" w:line="320" w:lineRule="auto"/>
      <w:ind w:left="1584" w:hanging="1584"/>
      <w:outlineLvl w:val="8"/>
    </w:pPr>
    <w:rPr>
      <w:rFonts w:ascii="Arial" w:hAnsi="Arial" w:eastAsia="黑体" w:cs="Times New Roman"/>
      <w:szCs w:val="21"/>
    </w:rPr>
  </w:style>
  <w:style w:type="character" w:default="1" w:styleId="48">
    <w:name w:val="Default Paragraph Font"/>
    <w:unhideWhenUsed/>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1"/>
    <w:unhideWhenUsed/>
    <w:qFormat/>
    <w:uiPriority w:val="99"/>
    <w:rPr>
      <w:b/>
      <w:bCs/>
    </w:rPr>
  </w:style>
  <w:style w:type="paragraph" w:styleId="12">
    <w:name w:val="annotation text"/>
    <w:basedOn w:val="1"/>
    <w:link w:val="120"/>
    <w:unhideWhenUsed/>
    <w:qFormat/>
    <w:uiPriority w:val="99"/>
    <w:pPr>
      <w:jc w:val="left"/>
    </w:pPr>
  </w:style>
  <w:style w:type="paragraph" w:styleId="13">
    <w:name w:val="toc 7"/>
    <w:basedOn w:val="1"/>
    <w:next w:val="1"/>
    <w:unhideWhenUsed/>
    <w:qFormat/>
    <w:uiPriority w:val="39"/>
    <w:pPr>
      <w:ind w:left="1260"/>
      <w:jc w:val="left"/>
    </w:pPr>
    <w:rPr>
      <w:rFonts w:ascii="Calibri" w:hAnsi="Calibri" w:eastAsia="宋体" w:cs="Times New Roman"/>
      <w:sz w:val="18"/>
      <w:szCs w:val="18"/>
    </w:rPr>
  </w:style>
  <w:style w:type="paragraph" w:styleId="14">
    <w:name w:val="Body Text First Indent"/>
    <w:basedOn w:val="1"/>
    <w:link w:val="76"/>
    <w:qFormat/>
    <w:uiPriority w:val="0"/>
    <w:pPr>
      <w:spacing w:after="120"/>
      <w:ind w:firstLine="420" w:firstLineChars="100"/>
    </w:pPr>
    <w:rPr>
      <w:rFonts w:ascii="Times New Roman" w:hAnsi="Times New Roman"/>
      <w:szCs w:val="24"/>
    </w:rPr>
  </w:style>
  <w:style w:type="paragraph" w:styleId="15">
    <w:name w:val="Normal Indent"/>
    <w:basedOn w:val="1"/>
    <w:link w:val="66"/>
    <w:unhideWhenUsed/>
    <w:qFormat/>
    <w:uiPriority w:val="0"/>
    <w:pPr>
      <w:ind w:firstLine="420" w:firstLineChars="200"/>
    </w:pPr>
  </w:style>
  <w:style w:type="paragraph" w:styleId="16">
    <w:name w:val="caption"/>
    <w:basedOn w:val="1"/>
    <w:next w:val="1"/>
    <w:qFormat/>
    <w:uiPriority w:val="35"/>
    <w:pPr>
      <w:spacing w:line="300" w:lineRule="auto"/>
      <w:ind w:firstLine="200" w:firstLineChars="200"/>
    </w:pPr>
    <w:rPr>
      <w:rFonts w:ascii="Arial" w:hAnsi="Arial" w:eastAsia="黑体" w:cs="Arial"/>
      <w:sz w:val="20"/>
      <w:szCs w:val="20"/>
    </w:rPr>
  </w:style>
  <w:style w:type="paragraph" w:styleId="17">
    <w:name w:val="Document Map"/>
    <w:basedOn w:val="1"/>
    <w:link w:val="122"/>
    <w:semiHidden/>
    <w:qFormat/>
    <w:uiPriority w:val="0"/>
    <w:pPr>
      <w:shd w:val="clear" w:color="auto" w:fill="000080"/>
    </w:pPr>
    <w:rPr>
      <w:rFonts w:ascii="Times New Roman" w:hAnsi="Times New Roman" w:eastAsia="宋体" w:cs="Times New Roman"/>
    </w:rPr>
  </w:style>
  <w:style w:type="paragraph" w:styleId="18">
    <w:name w:val="toa heading"/>
    <w:basedOn w:val="1"/>
    <w:next w:val="1"/>
    <w:semiHidden/>
    <w:qFormat/>
    <w:uiPriority w:val="0"/>
    <w:pPr>
      <w:spacing w:before="120"/>
    </w:pPr>
    <w:rPr>
      <w:rFonts w:ascii="Arial" w:hAnsi="Arial" w:eastAsia="宋体" w:cs="Times New Roman"/>
      <w:b/>
      <w:sz w:val="18"/>
      <w:szCs w:val="24"/>
    </w:rPr>
  </w:style>
  <w:style w:type="paragraph" w:styleId="19">
    <w:name w:val="Body Text 3"/>
    <w:basedOn w:val="1"/>
    <w:link w:val="69"/>
    <w:qFormat/>
    <w:uiPriority w:val="0"/>
    <w:pPr>
      <w:spacing w:line="360" w:lineRule="auto"/>
    </w:pPr>
    <w:rPr>
      <w:rFonts w:ascii="Times New Roman" w:hAnsi="Times New Roman"/>
      <w:color w:val="FF0000"/>
      <w:sz w:val="24"/>
      <w:szCs w:val="24"/>
    </w:rPr>
  </w:style>
  <w:style w:type="paragraph" w:styleId="20">
    <w:name w:val="Body Text"/>
    <w:basedOn w:val="1"/>
    <w:link w:val="92"/>
    <w:qFormat/>
    <w:uiPriority w:val="0"/>
    <w:rPr>
      <w:sz w:val="24"/>
      <w:szCs w:val="24"/>
    </w:rPr>
  </w:style>
  <w:style w:type="paragraph" w:styleId="21">
    <w:name w:val="Body Text Indent"/>
    <w:basedOn w:val="1"/>
    <w:link w:val="100"/>
    <w:qFormat/>
    <w:uiPriority w:val="0"/>
    <w:pPr>
      <w:ind w:left="559" w:leftChars="266"/>
    </w:pPr>
    <w:rPr>
      <w:rFonts w:ascii="仿宋_GB2312" w:hAnsi="Times New Roman" w:eastAsia="仿宋_GB2312"/>
      <w:sz w:val="28"/>
      <w:szCs w:val="24"/>
    </w:rPr>
  </w:style>
  <w:style w:type="paragraph" w:styleId="22">
    <w:name w:val="Block Text"/>
    <w:basedOn w:val="1"/>
    <w:qFormat/>
    <w:uiPriority w:val="0"/>
    <w:pPr>
      <w:spacing w:line="360" w:lineRule="auto"/>
      <w:ind w:left="420" w:right="22" w:firstLine="480"/>
    </w:pPr>
    <w:rPr>
      <w:rFonts w:ascii="宋体" w:hAnsi="宋体" w:eastAsia="宋体" w:cs="Times New Roman"/>
      <w:szCs w:val="20"/>
    </w:rPr>
  </w:style>
  <w:style w:type="paragraph" w:styleId="23">
    <w:name w:val="toc 5"/>
    <w:basedOn w:val="1"/>
    <w:next w:val="1"/>
    <w:unhideWhenUsed/>
    <w:qFormat/>
    <w:uiPriority w:val="39"/>
    <w:pPr>
      <w:ind w:left="840"/>
      <w:jc w:val="left"/>
    </w:pPr>
    <w:rPr>
      <w:rFonts w:ascii="Calibri" w:hAnsi="Calibri" w:eastAsia="宋体" w:cs="Times New Roman"/>
      <w:sz w:val="18"/>
      <w:szCs w:val="18"/>
    </w:rPr>
  </w:style>
  <w:style w:type="paragraph" w:styleId="24">
    <w:name w:val="toc 3"/>
    <w:basedOn w:val="1"/>
    <w:next w:val="1"/>
    <w:unhideWhenUsed/>
    <w:qFormat/>
    <w:uiPriority w:val="39"/>
    <w:pPr>
      <w:ind w:left="420"/>
      <w:jc w:val="left"/>
    </w:pPr>
    <w:rPr>
      <w:rFonts w:ascii="Calibri" w:hAnsi="Calibri" w:eastAsia="宋体" w:cs="Times New Roman"/>
      <w:i/>
      <w:iCs/>
      <w:sz w:val="20"/>
      <w:szCs w:val="20"/>
    </w:rPr>
  </w:style>
  <w:style w:type="paragraph" w:styleId="25">
    <w:name w:val="Plain Text"/>
    <w:basedOn w:val="1"/>
    <w:link w:val="102"/>
    <w:qFormat/>
    <w:uiPriority w:val="0"/>
    <w:rPr>
      <w:rFonts w:ascii="宋体" w:hAnsi="Courier New"/>
    </w:rPr>
  </w:style>
  <w:style w:type="paragraph" w:styleId="26">
    <w:name w:val="toc 8"/>
    <w:basedOn w:val="1"/>
    <w:next w:val="1"/>
    <w:unhideWhenUsed/>
    <w:qFormat/>
    <w:uiPriority w:val="39"/>
    <w:pPr>
      <w:ind w:left="1470"/>
      <w:jc w:val="left"/>
    </w:pPr>
    <w:rPr>
      <w:rFonts w:ascii="Calibri" w:hAnsi="Calibri" w:eastAsia="宋体" w:cs="Times New Roman"/>
      <w:sz w:val="18"/>
      <w:szCs w:val="18"/>
    </w:rPr>
  </w:style>
  <w:style w:type="paragraph" w:styleId="27">
    <w:name w:val="Date"/>
    <w:basedOn w:val="1"/>
    <w:next w:val="1"/>
    <w:link w:val="99"/>
    <w:qFormat/>
    <w:uiPriority w:val="99"/>
    <w:rPr>
      <w:rFonts w:ascii="Times New Roman" w:hAnsi="Times New Roman" w:eastAsia="幼圆"/>
      <w:sz w:val="28"/>
    </w:rPr>
  </w:style>
  <w:style w:type="paragraph" w:styleId="28">
    <w:name w:val="Body Text Indent 2"/>
    <w:basedOn w:val="1"/>
    <w:link w:val="98"/>
    <w:unhideWhenUsed/>
    <w:qFormat/>
    <w:uiPriority w:val="99"/>
    <w:pPr>
      <w:spacing w:after="120" w:line="480" w:lineRule="auto"/>
      <w:ind w:left="420" w:leftChars="200"/>
    </w:pPr>
  </w:style>
  <w:style w:type="paragraph" w:styleId="29">
    <w:name w:val="endnote text"/>
    <w:basedOn w:val="1"/>
    <w:link w:val="70"/>
    <w:unhideWhenUsed/>
    <w:qFormat/>
    <w:uiPriority w:val="99"/>
    <w:pPr>
      <w:snapToGrid w:val="0"/>
      <w:jc w:val="left"/>
    </w:pPr>
  </w:style>
  <w:style w:type="paragraph" w:styleId="30">
    <w:name w:val="Balloon Text"/>
    <w:basedOn w:val="1"/>
    <w:link w:val="97"/>
    <w:unhideWhenUsed/>
    <w:qFormat/>
    <w:uiPriority w:val="99"/>
    <w:rPr>
      <w:sz w:val="18"/>
      <w:szCs w:val="18"/>
    </w:rPr>
  </w:style>
  <w:style w:type="paragraph" w:styleId="31">
    <w:name w:val="footer"/>
    <w:basedOn w:val="1"/>
    <w:link w:val="75"/>
    <w:unhideWhenUsed/>
    <w:qFormat/>
    <w:uiPriority w:val="99"/>
    <w:pPr>
      <w:tabs>
        <w:tab w:val="center" w:pos="4153"/>
        <w:tab w:val="right" w:pos="8306"/>
      </w:tabs>
      <w:snapToGrid w:val="0"/>
      <w:jc w:val="left"/>
    </w:pPr>
    <w:rPr>
      <w:sz w:val="18"/>
      <w:szCs w:val="18"/>
    </w:rPr>
  </w:style>
  <w:style w:type="paragraph" w:styleId="32">
    <w:name w:val="Body Text First Indent 2"/>
    <w:basedOn w:val="21"/>
    <w:link w:val="127"/>
    <w:unhideWhenUsed/>
    <w:qFormat/>
    <w:uiPriority w:val="99"/>
    <w:pPr>
      <w:ind w:firstLine="420" w:firstLineChars="200"/>
    </w:pPr>
  </w:style>
  <w:style w:type="paragraph" w:styleId="33">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unhideWhenUsed/>
    <w:qFormat/>
    <w:uiPriority w:val="39"/>
    <w:pPr>
      <w:spacing w:before="120" w:after="120"/>
      <w:jc w:val="left"/>
    </w:pPr>
    <w:rPr>
      <w:rFonts w:ascii="Calibri" w:hAnsi="Calibri" w:eastAsia="宋体" w:cs="Times New Roman"/>
      <w:b/>
      <w:bCs/>
      <w:caps/>
      <w:sz w:val="20"/>
      <w:szCs w:val="20"/>
    </w:rPr>
  </w:style>
  <w:style w:type="paragraph" w:styleId="35">
    <w:name w:val="toc 4"/>
    <w:basedOn w:val="1"/>
    <w:next w:val="1"/>
    <w:unhideWhenUsed/>
    <w:qFormat/>
    <w:uiPriority w:val="39"/>
    <w:pPr>
      <w:ind w:left="630"/>
      <w:jc w:val="left"/>
    </w:pPr>
    <w:rPr>
      <w:rFonts w:ascii="Calibri" w:hAnsi="Calibri" w:eastAsia="宋体" w:cs="Times New Roman"/>
      <w:sz w:val="18"/>
      <w:szCs w:val="18"/>
    </w:rPr>
  </w:style>
  <w:style w:type="paragraph" w:styleId="36">
    <w:name w:val="index heading"/>
    <w:basedOn w:val="1"/>
    <w:next w:val="37"/>
    <w:semiHidden/>
    <w:qFormat/>
    <w:uiPriority w:val="0"/>
    <w:pPr>
      <w:adjustRightInd w:val="0"/>
      <w:spacing w:line="310" w:lineRule="atLeast"/>
      <w:jc w:val="left"/>
      <w:textAlignment w:val="baseline"/>
    </w:pPr>
    <w:rPr>
      <w:rFonts w:ascii="黑体" w:hAnsi="Times New Roman" w:eastAsia="黑体" w:cs="Times New Roman"/>
      <w:color w:val="000000"/>
      <w:kern w:val="0"/>
      <w:sz w:val="24"/>
      <w:szCs w:val="20"/>
    </w:rPr>
  </w:style>
  <w:style w:type="paragraph" w:styleId="37">
    <w:name w:val="index 1"/>
    <w:basedOn w:val="1"/>
    <w:next w:val="1"/>
    <w:semiHidden/>
    <w:qFormat/>
    <w:uiPriority w:val="0"/>
    <w:rPr>
      <w:rFonts w:ascii="Times New Roman" w:hAnsi="Times New Roman" w:eastAsia="宋体" w:cs="Times New Roman"/>
      <w:szCs w:val="24"/>
    </w:rPr>
  </w:style>
  <w:style w:type="paragraph" w:styleId="38">
    <w:name w:val="List"/>
    <w:basedOn w:val="1"/>
    <w:qFormat/>
    <w:uiPriority w:val="0"/>
    <w:pPr>
      <w:spacing w:line="360" w:lineRule="auto"/>
      <w:ind w:left="200" w:hanging="200"/>
    </w:pPr>
    <w:rPr>
      <w:rFonts w:ascii="Times New Roman" w:hAnsi="Times New Roman" w:eastAsia="宋体" w:cs="Times New Roman"/>
      <w:sz w:val="24"/>
      <w:szCs w:val="24"/>
    </w:rPr>
  </w:style>
  <w:style w:type="paragraph" w:styleId="39">
    <w:name w:val="toc 6"/>
    <w:basedOn w:val="1"/>
    <w:next w:val="1"/>
    <w:unhideWhenUsed/>
    <w:qFormat/>
    <w:uiPriority w:val="39"/>
    <w:pPr>
      <w:ind w:left="1050"/>
      <w:jc w:val="left"/>
    </w:pPr>
    <w:rPr>
      <w:rFonts w:ascii="Calibri" w:hAnsi="Calibri" w:eastAsia="宋体" w:cs="Times New Roman"/>
      <w:sz w:val="18"/>
      <w:szCs w:val="18"/>
    </w:rPr>
  </w:style>
  <w:style w:type="paragraph" w:styleId="40">
    <w:name w:val="Body Text Indent 3"/>
    <w:basedOn w:val="1"/>
    <w:link w:val="83"/>
    <w:qFormat/>
    <w:uiPriority w:val="0"/>
    <w:pPr>
      <w:ind w:firstLine="420"/>
    </w:pPr>
    <w:rPr>
      <w:rFonts w:ascii="Times New Roman" w:hAnsi="Times New Roman"/>
      <w:b/>
      <w:i/>
      <w:color w:val="000000"/>
      <w:szCs w:val="24"/>
      <w:u w:val="single"/>
    </w:rPr>
  </w:style>
  <w:style w:type="paragraph" w:styleId="41">
    <w:name w:val="toc 2"/>
    <w:basedOn w:val="1"/>
    <w:next w:val="1"/>
    <w:qFormat/>
    <w:uiPriority w:val="39"/>
    <w:pPr>
      <w:ind w:left="210"/>
      <w:jc w:val="left"/>
    </w:pPr>
    <w:rPr>
      <w:rFonts w:ascii="Calibri" w:hAnsi="Calibri" w:eastAsia="宋体" w:cs="Times New Roman"/>
      <w:smallCaps/>
      <w:sz w:val="20"/>
      <w:szCs w:val="20"/>
    </w:rPr>
  </w:style>
  <w:style w:type="paragraph" w:styleId="42">
    <w:name w:val="toc 9"/>
    <w:basedOn w:val="1"/>
    <w:next w:val="1"/>
    <w:unhideWhenUsed/>
    <w:qFormat/>
    <w:uiPriority w:val="39"/>
    <w:pPr>
      <w:ind w:left="1680"/>
      <w:jc w:val="left"/>
    </w:pPr>
    <w:rPr>
      <w:rFonts w:ascii="Calibri" w:hAnsi="Calibri" w:eastAsia="宋体" w:cs="Times New Roman"/>
      <w:sz w:val="18"/>
      <w:szCs w:val="18"/>
    </w:rPr>
  </w:style>
  <w:style w:type="paragraph" w:styleId="43">
    <w:name w:val="Body Text 2"/>
    <w:basedOn w:val="1"/>
    <w:link w:val="93"/>
    <w:qFormat/>
    <w:uiPriority w:val="0"/>
    <w:rPr>
      <w:rFonts w:ascii="Times New Roman" w:hAnsi="Times New Roman"/>
      <w:color w:val="000000"/>
      <w:szCs w:val="24"/>
    </w:rPr>
  </w:style>
  <w:style w:type="paragraph" w:styleId="44">
    <w:name w:val="List Continue 2"/>
    <w:basedOn w:val="1"/>
    <w:unhideWhenUsed/>
    <w:qFormat/>
    <w:uiPriority w:val="99"/>
    <w:pPr>
      <w:spacing w:after="120"/>
      <w:ind w:left="840" w:leftChars="400"/>
      <w:contextualSpacing/>
    </w:pPr>
    <w:rPr>
      <w:rFonts w:ascii="Times New Roman" w:hAnsi="Times New Roman" w:eastAsia="宋体" w:cs="Times New Roman"/>
    </w:rPr>
  </w:style>
  <w:style w:type="paragraph" w:styleId="45">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7">
    <w:name w:val="Title"/>
    <w:basedOn w:val="1"/>
    <w:next w:val="1"/>
    <w:link w:val="94"/>
    <w:qFormat/>
    <w:uiPriority w:val="10"/>
    <w:pPr>
      <w:spacing w:before="240" w:after="60"/>
      <w:jc w:val="center"/>
      <w:outlineLvl w:val="0"/>
    </w:pPr>
    <w:rPr>
      <w:rFonts w:ascii="Cambria" w:hAnsi="Cambria"/>
      <w:b/>
      <w:bCs/>
      <w:sz w:val="32"/>
      <w:szCs w:val="32"/>
    </w:rPr>
  </w:style>
  <w:style w:type="character" w:styleId="49">
    <w:name w:val="Strong"/>
    <w:qFormat/>
    <w:uiPriority w:val="22"/>
    <w:rPr>
      <w:b/>
      <w:bCs/>
    </w:rPr>
  </w:style>
  <w:style w:type="character" w:styleId="50">
    <w:name w:val="endnote reference"/>
    <w:unhideWhenUsed/>
    <w:qFormat/>
    <w:uiPriority w:val="99"/>
    <w:rPr>
      <w:vertAlign w:val="superscript"/>
    </w:rPr>
  </w:style>
  <w:style w:type="character" w:styleId="51">
    <w:name w:val="page number"/>
    <w:qFormat/>
    <w:uiPriority w:val="0"/>
    <w:rPr>
      <w:rFonts w:ascii="Times New Roman" w:hAnsi="Times New Roman" w:cs="Times New Roman"/>
    </w:rPr>
  </w:style>
  <w:style w:type="character" w:styleId="52">
    <w:name w:val="FollowedHyperlink"/>
    <w:unhideWhenUsed/>
    <w:qFormat/>
    <w:uiPriority w:val="0"/>
    <w:rPr>
      <w:color w:val="333333"/>
      <w:u w:val="none"/>
    </w:rPr>
  </w:style>
  <w:style w:type="character" w:styleId="53">
    <w:name w:val="Hyperlink"/>
    <w:qFormat/>
    <w:uiPriority w:val="99"/>
    <w:rPr>
      <w:rFonts w:ascii="Times New Roman" w:hAnsi="Times New Roman" w:cs="Times New Roman"/>
      <w:color w:val="0000FF"/>
      <w:u w:val="single"/>
    </w:rPr>
  </w:style>
  <w:style w:type="character" w:styleId="54">
    <w:name w:val="annotation reference"/>
    <w:unhideWhenUsed/>
    <w:qFormat/>
    <w:uiPriority w:val="99"/>
    <w:rPr>
      <w:sz w:val="21"/>
      <w:szCs w:val="21"/>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7">
    <w:name w:val="标题 1 Char"/>
    <w:basedOn w:val="48"/>
    <w:link w:val="2"/>
    <w:qFormat/>
    <w:uiPriority w:val="9"/>
    <w:rPr>
      <w:rFonts w:ascii="Calibri" w:hAnsi="Calibri" w:eastAsia="黑体" w:cs="Times New Roman"/>
      <w:b/>
      <w:bCs/>
      <w:kern w:val="44"/>
      <w:sz w:val="44"/>
      <w:szCs w:val="44"/>
    </w:rPr>
  </w:style>
  <w:style w:type="character" w:customStyle="1" w:styleId="58">
    <w:name w:val="标题 2 Char"/>
    <w:basedOn w:val="48"/>
    <w:link w:val="3"/>
    <w:qFormat/>
    <w:uiPriority w:val="9"/>
    <w:rPr>
      <w:rFonts w:ascii="Arial" w:hAnsi="Arial" w:eastAsia="黑体" w:cs="Times New Roman"/>
      <w:b/>
      <w:bCs/>
      <w:kern w:val="0"/>
      <w:sz w:val="28"/>
      <w:szCs w:val="32"/>
    </w:rPr>
  </w:style>
  <w:style w:type="character" w:customStyle="1" w:styleId="59">
    <w:name w:val="标题 3 Char"/>
    <w:basedOn w:val="48"/>
    <w:link w:val="4"/>
    <w:qFormat/>
    <w:uiPriority w:val="0"/>
    <w:rPr>
      <w:rFonts w:ascii="Calibri" w:hAnsi="Calibri" w:eastAsia="宋体" w:cs="Times New Roman"/>
      <w:b/>
      <w:bCs/>
      <w:kern w:val="0"/>
      <w:sz w:val="32"/>
      <w:szCs w:val="32"/>
    </w:rPr>
  </w:style>
  <w:style w:type="character" w:customStyle="1" w:styleId="60">
    <w:name w:val="标题 4 Char"/>
    <w:basedOn w:val="48"/>
    <w:link w:val="5"/>
    <w:qFormat/>
    <w:uiPriority w:val="0"/>
    <w:rPr>
      <w:rFonts w:ascii="Cambria" w:hAnsi="Cambria" w:eastAsia="宋体" w:cs="Times New Roman"/>
      <w:b/>
      <w:bCs/>
      <w:kern w:val="0"/>
      <w:sz w:val="28"/>
      <w:szCs w:val="28"/>
    </w:rPr>
  </w:style>
  <w:style w:type="character" w:customStyle="1" w:styleId="61">
    <w:name w:val="标题 5 Char"/>
    <w:basedOn w:val="48"/>
    <w:link w:val="6"/>
    <w:qFormat/>
    <w:uiPriority w:val="0"/>
    <w:rPr>
      <w:rFonts w:ascii="Times New Roman" w:hAnsi="Times New Roman" w:eastAsia="黑体" w:cs="Times New Roman"/>
      <w:bCs/>
      <w:sz w:val="24"/>
      <w:szCs w:val="28"/>
    </w:rPr>
  </w:style>
  <w:style w:type="character" w:customStyle="1" w:styleId="62">
    <w:name w:val="标题 6 Char"/>
    <w:basedOn w:val="48"/>
    <w:link w:val="7"/>
    <w:qFormat/>
    <w:uiPriority w:val="0"/>
    <w:rPr>
      <w:rFonts w:ascii="Arial" w:hAnsi="Arial" w:eastAsia="黑体" w:cs="Times New Roman"/>
      <w:bCs/>
      <w:szCs w:val="24"/>
    </w:rPr>
  </w:style>
  <w:style w:type="character" w:customStyle="1" w:styleId="63">
    <w:name w:val="标题 7 Char"/>
    <w:basedOn w:val="48"/>
    <w:link w:val="8"/>
    <w:qFormat/>
    <w:uiPriority w:val="0"/>
    <w:rPr>
      <w:rFonts w:ascii="Times New Roman" w:hAnsi="Times New Roman" w:eastAsia="宋体" w:cs="Times New Roman"/>
      <w:b/>
      <w:bCs/>
      <w:sz w:val="24"/>
      <w:szCs w:val="24"/>
    </w:rPr>
  </w:style>
  <w:style w:type="character" w:customStyle="1" w:styleId="64">
    <w:name w:val="标题 8 Char"/>
    <w:basedOn w:val="48"/>
    <w:link w:val="9"/>
    <w:qFormat/>
    <w:uiPriority w:val="0"/>
    <w:rPr>
      <w:rFonts w:ascii="Arial" w:hAnsi="Arial" w:eastAsia="黑体" w:cs="Times New Roman"/>
      <w:sz w:val="24"/>
      <w:szCs w:val="24"/>
    </w:rPr>
  </w:style>
  <w:style w:type="character" w:customStyle="1" w:styleId="65">
    <w:name w:val="标题 9 Char"/>
    <w:basedOn w:val="48"/>
    <w:link w:val="10"/>
    <w:qFormat/>
    <w:uiPriority w:val="0"/>
    <w:rPr>
      <w:rFonts w:ascii="Arial" w:hAnsi="Arial" w:eastAsia="黑体" w:cs="Times New Roman"/>
      <w:szCs w:val="21"/>
    </w:rPr>
  </w:style>
  <w:style w:type="character" w:customStyle="1" w:styleId="66">
    <w:name w:val="正文缩进 Char"/>
    <w:link w:val="15"/>
    <w:qFormat/>
    <w:uiPriority w:val="0"/>
  </w:style>
  <w:style w:type="character" w:customStyle="1" w:styleId="67">
    <w:name w:val="font21"/>
    <w:qFormat/>
    <w:uiPriority w:val="0"/>
    <w:rPr>
      <w:rFonts w:hint="eastAsia" w:ascii="宋体" w:hAnsi="宋体" w:eastAsia="宋体" w:cs="宋体"/>
      <w:color w:val="FF0000"/>
      <w:sz w:val="20"/>
      <w:szCs w:val="20"/>
      <w:u w:val="none"/>
    </w:rPr>
  </w:style>
  <w:style w:type="character" w:customStyle="1" w:styleId="68">
    <w:name w:val="tx1"/>
    <w:qFormat/>
    <w:uiPriority w:val="0"/>
    <w:rPr>
      <w:b/>
      <w:bCs/>
    </w:rPr>
  </w:style>
  <w:style w:type="character" w:customStyle="1" w:styleId="69">
    <w:name w:val="正文文本 3 Char"/>
    <w:link w:val="19"/>
    <w:qFormat/>
    <w:uiPriority w:val="0"/>
    <w:rPr>
      <w:rFonts w:ascii="Times New Roman" w:hAnsi="Times New Roman"/>
      <w:color w:val="FF0000"/>
      <w:sz w:val="24"/>
      <w:szCs w:val="24"/>
    </w:rPr>
  </w:style>
  <w:style w:type="character" w:customStyle="1" w:styleId="70">
    <w:name w:val="尾注文本 Char"/>
    <w:link w:val="29"/>
    <w:qFormat/>
    <w:uiPriority w:val="99"/>
  </w:style>
  <w:style w:type="character" w:customStyle="1" w:styleId="71">
    <w:name w:val="批注主题 Char"/>
    <w:link w:val="11"/>
    <w:qFormat/>
    <w:uiPriority w:val="99"/>
    <w:rPr>
      <w:b/>
      <w:bCs/>
    </w:rPr>
  </w:style>
  <w:style w:type="character" w:customStyle="1" w:styleId="72">
    <w:name w:val="apple-converted-space"/>
    <w:basedOn w:val="48"/>
    <w:qFormat/>
    <w:uiPriority w:val="0"/>
  </w:style>
  <w:style w:type="character" w:customStyle="1" w:styleId="73">
    <w:name w:val="b1"/>
    <w:qFormat/>
    <w:uiPriority w:val="0"/>
    <w:rPr>
      <w:rFonts w:hint="default" w:ascii="Courier New" w:hAnsi="Courier New" w:cs="楷体_GB2312"/>
      <w:b/>
      <w:bCs/>
      <w:color w:val="FF0000"/>
      <w:u w:val="none"/>
    </w:rPr>
  </w:style>
  <w:style w:type="character" w:customStyle="1" w:styleId="74">
    <w:name w:val="正文首行缩进 Char1"/>
    <w:qFormat/>
    <w:uiPriority w:val="0"/>
    <w:rPr>
      <w:rFonts w:ascii="Times New Roman" w:hAnsi="Times New Roman" w:eastAsia="宋体" w:cs="Times New Roman"/>
      <w:szCs w:val="24"/>
    </w:rPr>
  </w:style>
  <w:style w:type="character" w:customStyle="1" w:styleId="75">
    <w:name w:val="页脚 Char"/>
    <w:link w:val="31"/>
    <w:qFormat/>
    <w:uiPriority w:val="99"/>
    <w:rPr>
      <w:sz w:val="18"/>
      <w:szCs w:val="18"/>
    </w:rPr>
  </w:style>
  <w:style w:type="character" w:customStyle="1" w:styleId="76">
    <w:name w:val="正文首行缩进 Char"/>
    <w:link w:val="14"/>
    <w:qFormat/>
    <w:uiPriority w:val="0"/>
    <w:rPr>
      <w:rFonts w:ascii="Times New Roman" w:hAnsi="Times New Roman"/>
      <w:szCs w:val="24"/>
    </w:rPr>
  </w:style>
  <w:style w:type="character" w:customStyle="1" w:styleId="77">
    <w:name w:val="font31"/>
    <w:qFormat/>
    <w:uiPriority w:val="0"/>
    <w:rPr>
      <w:rFonts w:hint="eastAsia" w:ascii="宋体" w:hAnsi="宋体" w:eastAsia="宋体" w:cs="宋体"/>
      <w:color w:val="000000"/>
      <w:sz w:val="20"/>
      <w:szCs w:val="20"/>
      <w:u w:val="none"/>
    </w:rPr>
  </w:style>
  <w:style w:type="character" w:customStyle="1" w:styleId="78">
    <w:name w:val="正文文本 Char1"/>
    <w:semiHidden/>
    <w:qFormat/>
    <w:uiPriority w:val="99"/>
    <w:rPr>
      <w:rFonts w:ascii="Calibri" w:hAnsi="Calibri" w:eastAsia="宋体" w:cs="Times New Roman"/>
    </w:rPr>
  </w:style>
  <w:style w:type="character" w:customStyle="1" w:styleId="79">
    <w:name w:val="表格英文 Char"/>
    <w:link w:val="80"/>
    <w:qFormat/>
    <w:uiPriority w:val="0"/>
    <w:rPr>
      <w:rFonts w:ascii="Verdana" w:hAnsi="Verdana"/>
      <w:bCs/>
      <w:sz w:val="18"/>
      <w:szCs w:val="18"/>
    </w:rPr>
  </w:style>
  <w:style w:type="paragraph" w:customStyle="1" w:styleId="80">
    <w:name w:val="表格英文"/>
    <w:basedOn w:val="81"/>
    <w:link w:val="79"/>
    <w:qFormat/>
    <w:uiPriority w:val="0"/>
  </w:style>
  <w:style w:type="paragraph" w:customStyle="1" w:styleId="81">
    <w:name w:val="表格中文"/>
    <w:link w:val="101"/>
    <w:qFormat/>
    <w:uiPriority w:val="0"/>
    <w:pPr>
      <w:spacing w:line="240" w:lineRule="atLeast"/>
    </w:pPr>
    <w:rPr>
      <w:rFonts w:ascii="Verdana" w:hAnsi="Verdana" w:eastAsiaTheme="minorEastAsia" w:cstheme="minorBidi"/>
      <w:bCs/>
      <w:kern w:val="2"/>
      <w:sz w:val="18"/>
      <w:szCs w:val="18"/>
      <w:lang w:val="en-US" w:eastAsia="zh-CN" w:bidi="ar-SA"/>
    </w:rPr>
  </w:style>
  <w:style w:type="character" w:customStyle="1" w:styleId="82">
    <w:name w:val="m1"/>
    <w:qFormat/>
    <w:uiPriority w:val="0"/>
    <w:rPr>
      <w:color w:val="0000FF"/>
    </w:rPr>
  </w:style>
  <w:style w:type="character" w:customStyle="1" w:styleId="83">
    <w:name w:val="正文文本缩进 3 Char"/>
    <w:link w:val="40"/>
    <w:qFormat/>
    <w:uiPriority w:val="0"/>
    <w:rPr>
      <w:rFonts w:ascii="Times New Roman" w:hAnsi="Times New Roman"/>
      <w:b/>
      <w:i/>
      <w:color w:val="000000"/>
      <w:szCs w:val="24"/>
      <w:u w:val="single"/>
    </w:rPr>
  </w:style>
  <w:style w:type="character" w:customStyle="1" w:styleId="84">
    <w:name w:val="页眉 Char"/>
    <w:link w:val="33"/>
    <w:qFormat/>
    <w:uiPriority w:val="99"/>
    <w:rPr>
      <w:sz w:val="18"/>
      <w:szCs w:val="18"/>
    </w:rPr>
  </w:style>
  <w:style w:type="character" w:customStyle="1" w:styleId="85">
    <w:name w:val="font11"/>
    <w:qFormat/>
    <w:uiPriority w:val="0"/>
    <w:rPr>
      <w:rFonts w:hint="eastAsia" w:ascii="宋体" w:hAnsi="宋体" w:eastAsia="宋体" w:cs="宋体"/>
      <w:color w:val="000000"/>
      <w:sz w:val="20"/>
      <w:szCs w:val="20"/>
      <w:u w:val="none"/>
    </w:rPr>
  </w:style>
  <w:style w:type="character" w:customStyle="1" w:styleId="86">
    <w:name w:val="一级 Char"/>
    <w:link w:val="87"/>
    <w:qFormat/>
    <w:locked/>
    <w:uiPriority w:val="0"/>
    <w:rPr>
      <w:rFonts w:ascii="仿宋_GB2312" w:eastAsia="仿宋_GB2312"/>
      <w:b/>
      <w:bCs/>
      <w:kern w:val="44"/>
      <w:sz w:val="28"/>
      <w:szCs w:val="28"/>
    </w:rPr>
  </w:style>
  <w:style w:type="paragraph" w:customStyle="1" w:styleId="87">
    <w:name w:val="一级"/>
    <w:basedOn w:val="2"/>
    <w:link w:val="86"/>
    <w:qFormat/>
    <w:uiPriority w:val="0"/>
    <w:pPr>
      <w:numPr>
        <w:ilvl w:val="0"/>
        <w:numId w:val="1"/>
      </w:numPr>
      <w:tabs>
        <w:tab w:val="left" w:pos="567"/>
      </w:tabs>
    </w:pPr>
    <w:rPr>
      <w:rFonts w:ascii="仿宋_GB2312" w:eastAsia="仿宋_GB2312" w:hAnsiTheme="minorHAnsi" w:cstheme="minorBidi"/>
      <w:sz w:val="28"/>
      <w:szCs w:val="28"/>
    </w:rPr>
  </w:style>
  <w:style w:type="character" w:customStyle="1" w:styleId="88">
    <w:name w:val="列出段落 Char"/>
    <w:link w:val="89"/>
    <w:qFormat/>
    <w:uiPriority w:val="99"/>
  </w:style>
  <w:style w:type="paragraph" w:customStyle="1" w:styleId="89">
    <w:name w:val="列出段落1"/>
    <w:basedOn w:val="1"/>
    <w:link w:val="88"/>
    <w:qFormat/>
    <w:uiPriority w:val="34"/>
    <w:pPr>
      <w:ind w:firstLine="420" w:firstLineChars="200"/>
    </w:pPr>
  </w:style>
  <w:style w:type="character" w:customStyle="1" w:styleId="90">
    <w:name w:val="pi1"/>
    <w:qFormat/>
    <w:uiPriority w:val="0"/>
    <w:rPr>
      <w:color w:val="0000FF"/>
    </w:rPr>
  </w:style>
  <w:style w:type="character" w:customStyle="1" w:styleId="91">
    <w:name w:val="标题 Char1"/>
    <w:qFormat/>
    <w:uiPriority w:val="10"/>
    <w:rPr>
      <w:rFonts w:ascii="Cambria" w:hAnsi="Cambria" w:cs="Times New Roman"/>
      <w:b/>
      <w:bCs/>
      <w:kern w:val="2"/>
      <w:sz w:val="32"/>
      <w:szCs w:val="32"/>
    </w:rPr>
  </w:style>
  <w:style w:type="character" w:customStyle="1" w:styleId="92">
    <w:name w:val="正文文本 Char"/>
    <w:link w:val="20"/>
    <w:qFormat/>
    <w:uiPriority w:val="0"/>
    <w:rPr>
      <w:sz w:val="24"/>
      <w:szCs w:val="24"/>
    </w:rPr>
  </w:style>
  <w:style w:type="character" w:customStyle="1" w:styleId="93">
    <w:name w:val="正文文本 2 Char"/>
    <w:link w:val="43"/>
    <w:qFormat/>
    <w:uiPriority w:val="0"/>
    <w:rPr>
      <w:rFonts w:ascii="Times New Roman" w:hAnsi="Times New Roman"/>
      <w:color w:val="000000"/>
      <w:szCs w:val="24"/>
    </w:rPr>
  </w:style>
  <w:style w:type="character" w:customStyle="1" w:styleId="94">
    <w:name w:val="标题 Char"/>
    <w:link w:val="47"/>
    <w:qFormat/>
    <w:uiPriority w:val="10"/>
    <w:rPr>
      <w:rFonts w:ascii="Cambria" w:hAnsi="Cambria"/>
      <w:b/>
      <w:bCs/>
      <w:sz w:val="32"/>
      <w:szCs w:val="32"/>
    </w:rPr>
  </w:style>
  <w:style w:type="character" w:customStyle="1" w:styleId="95">
    <w:name w:val="stylecontent1"/>
    <w:qFormat/>
    <w:uiPriority w:val="0"/>
    <w:rPr>
      <w:rFonts w:hint="default" w:ascii="Arial" w:hAnsi="Arial" w:cs="Arial"/>
      <w:color w:val="000000"/>
      <w:sz w:val="21"/>
      <w:szCs w:val="21"/>
    </w:rPr>
  </w:style>
  <w:style w:type="character" w:customStyle="1" w:styleId="96">
    <w:name w:val="批注文字 Char"/>
    <w:qFormat/>
    <w:uiPriority w:val="99"/>
    <w:rPr>
      <w:kern w:val="2"/>
      <w:sz w:val="21"/>
      <w:szCs w:val="22"/>
    </w:rPr>
  </w:style>
  <w:style w:type="character" w:customStyle="1" w:styleId="97">
    <w:name w:val="批注框文本 Char"/>
    <w:link w:val="30"/>
    <w:qFormat/>
    <w:uiPriority w:val="99"/>
    <w:rPr>
      <w:sz w:val="18"/>
      <w:szCs w:val="18"/>
    </w:rPr>
  </w:style>
  <w:style w:type="character" w:customStyle="1" w:styleId="98">
    <w:name w:val="正文文本缩进 2 Char"/>
    <w:link w:val="28"/>
    <w:qFormat/>
    <w:uiPriority w:val="99"/>
  </w:style>
  <w:style w:type="character" w:customStyle="1" w:styleId="99">
    <w:name w:val="日期 Char"/>
    <w:link w:val="27"/>
    <w:qFormat/>
    <w:uiPriority w:val="0"/>
    <w:rPr>
      <w:rFonts w:ascii="Times New Roman" w:hAnsi="Times New Roman" w:eastAsia="幼圆"/>
      <w:sz w:val="28"/>
    </w:rPr>
  </w:style>
  <w:style w:type="character" w:customStyle="1" w:styleId="100">
    <w:name w:val="正文文本缩进 Char"/>
    <w:link w:val="21"/>
    <w:qFormat/>
    <w:uiPriority w:val="0"/>
    <w:rPr>
      <w:rFonts w:ascii="仿宋_GB2312" w:hAnsi="Times New Roman" w:eastAsia="仿宋_GB2312"/>
      <w:sz w:val="28"/>
      <w:szCs w:val="24"/>
    </w:rPr>
  </w:style>
  <w:style w:type="character" w:customStyle="1" w:styleId="101">
    <w:name w:val="表格中文 Char"/>
    <w:link w:val="81"/>
    <w:qFormat/>
    <w:uiPriority w:val="0"/>
    <w:rPr>
      <w:rFonts w:ascii="Verdana" w:hAnsi="Verdana"/>
      <w:bCs/>
      <w:sz w:val="18"/>
      <w:szCs w:val="18"/>
    </w:rPr>
  </w:style>
  <w:style w:type="character" w:customStyle="1" w:styleId="102">
    <w:name w:val="纯文本 Char"/>
    <w:link w:val="25"/>
    <w:qFormat/>
    <w:uiPriority w:val="0"/>
    <w:rPr>
      <w:rFonts w:ascii="宋体" w:hAnsi="Courier New"/>
    </w:rPr>
  </w:style>
  <w:style w:type="character" w:customStyle="1" w:styleId="103">
    <w:name w:val="纯文本 Char1"/>
    <w:semiHidden/>
    <w:qFormat/>
    <w:uiPriority w:val="99"/>
    <w:rPr>
      <w:rFonts w:ascii="宋体" w:hAnsi="Courier New" w:eastAsia="宋体" w:cs="Courier New"/>
      <w:szCs w:val="21"/>
    </w:rPr>
  </w:style>
  <w:style w:type="character" w:customStyle="1" w:styleId="104">
    <w:name w:val="t1"/>
    <w:qFormat/>
    <w:uiPriority w:val="0"/>
    <w:rPr>
      <w:color w:val="990000"/>
    </w:rPr>
  </w:style>
  <w:style w:type="character" w:customStyle="1" w:styleId="105">
    <w:name w:val="Char Char17"/>
    <w:qFormat/>
    <w:uiPriority w:val="0"/>
    <w:rPr>
      <w:rFonts w:ascii="Arial" w:hAnsi="Arial" w:eastAsia="黑体"/>
      <w:b/>
      <w:bCs/>
      <w:kern w:val="2"/>
      <w:sz w:val="32"/>
      <w:szCs w:val="32"/>
      <w:lang w:val="en-US" w:eastAsia="zh-CN" w:bidi="ar-SA"/>
    </w:rPr>
  </w:style>
  <w:style w:type="character" w:customStyle="1" w:styleId="106">
    <w:name w:val="编号1 Char Char"/>
    <w:link w:val="107"/>
    <w:qFormat/>
    <w:uiPriority w:val="0"/>
    <w:rPr>
      <w:rFonts w:ascii="Times New Roman" w:hAnsi="Times New Roman"/>
      <w:sz w:val="24"/>
      <w:szCs w:val="24"/>
    </w:rPr>
  </w:style>
  <w:style w:type="paragraph" w:customStyle="1" w:styleId="107">
    <w:name w:val="编号1"/>
    <w:basedOn w:val="1"/>
    <w:link w:val="106"/>
    <w:qFormat/>
    <w:uiPriority w:val="0"/>
    <w:pPr>
      <w:tabs>
        <w:tab w:val="left" w:pos="720"/>
        <w:tab w:val="left" w:pos="993"/>
      </w:tabs>
      <w:spacing w:afterLines="30" w:line="288" w:lineRule="auto"/>
      <w:ind w:firstLine="360" w:firstLineChars="150"/>
    </w:pPr>
    <w:rPr>
      <w:rFonts w:ascii="Times New Roman" w:hAnsi="Times New Roman"/>
      <w:sz w:val="24"/>
      <w:szCs w:val="24"/>
    </w:rPr>
  </w:style>
  <w:style w:type="character" w:customStyle="1" w:styleId="108">
    <w:name w:val="表格中正文 Char"/>
    <w:qFormat/>
    <w:uiPriority w:val="0"/>
    <w:rPr>
      <w:rFonts w:eastAsia="宋体"/>
      <w:sz w:val="21"/>
      <w:lang w:val="en-US" w:eastAsia="zh-CN" w:bidi="ar-SA"/>
    </w:rPr>
  </w:style>
  <w:style w:type="character" w:customStyle="1" w:styleId="109">
    <w:name w:val="正文文本缩进 Char1"/>
    <w:basedOn w:val="48"/>
    <w:semiHidden/>
    <w:qFormat/>
    <w:uiPriority w:val="99"/>
  </w:style>
  <w:style w:type="paragraph" w:customStyle="1" w:styleId="110">
    <w:name w:val="01 parapoint"/>
    <w:basedOn w:val="1"/>
    <w:qFormat/>
    <w:uiPriority w:val="0"/>
    <w:pPr>
      <w:widowControl/>
      <w:numPr>
        <w:ilvl w:val="0"/>
        <w:numId w:val="2"/>
      </w:numPr>
      <w:spacing w:after="180"/>
      <w:jc w:val="left"/>
    </w:pPr>
    <w:rPr>
      <w:rFonts w:ascii="Times New Roman" w:hAnsi="Times New Roman" w:eastAsia="宋体" w:cs="Times New Roman"/>
      <w:kern w:val="0"/>
      <w:sz w:val="24"/>
      <w:szCs w:val="20"/>
      <w:lang w:eastAsia="en-US"/>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character" w:customStyle="1" w:styleId="112">
    <w:name w:val="页脚 Char1"/>
    <w:basedOn w:val="48"/>
    <w:semiHidden/>
    <w:qFormat/>
    <w:uiPriority w:val="99"/>
    <w:rPr>
      <w:sz w:val="18"/>
      <w:szCs w:val="18"/>
    </w:rPr>
  </w:style>
  <w:style w:type="character" w:customStyle="1" w:styleId="113">
    <w:name w:val="正文文本缩进 2 Char1"/>
    <w:basedOn w:val="48"/>
    <w:semiHidden/>
    <w:qFormat/>
    <w:uiPriority w:val="99"/>
  </w:style>
  <w:style w:type="character" w:customStyle="1" w:styleId="114">
    <w:name w:val="正文文本 3 Char1"/>
    <w:basedOn w:val="48"/>
    <w:semiHidden/>
    <w:qFormat/>
    <w:uiPriority w:val="99"/>
    <w:rPr>
      <w:sz w:val="16"/>
      <w:szCs w:val="16"/>
    </w:rPr>
  </w:style>
  <w:style w:type="character" w:customStyle="1" w:styleId="115">
    <w:name w:val="正文文本缩进 3 Char1"/>
    <w:basedOn w:val="48"/>
    <w:semiHidden/>
    <w:qFormat/>
    <w:uiPriority w:val="99"/>
    <w:rPr>
      <w:sz w:val="16"/>
      <w:szCs w:val="16"/>
    </w:rPr>
  </w:style>
  <w:style w:type="paragraph" w:customStyle="1" w:styleId="116">
    <w:name w:val="正文首行缩进1"/>
    <w:basedOn w:val="15"/>
    <w:qFormat/>
    <w:uiPriority w:val="0"/>
    <w:pPr>
      <w:spacing w:line="360" w:lineRule="auto"/>
      <w:ind w:firstLine="200"/>
    </w:pPr>
    <w:rPr>
      <w:rFonts w:ascii="仿宋_GB2312" w:hAnsi="Verdana" w:eastAsia="仿宋_GB2312"/>
      <w:kern w:val="0"/>
      <w:sz w:val="20"/>
      <w:szCs w:val="20"/>
    </w:rPr>
  </w:style>
  <w:style w:type="paragraph" w:customStyle="1" w:styleId="11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18">
    <w:name w:val="正文文本 Char2"/>
    <w:basedOn w:val="48"/>
    <w:semiHidden/>
    <w:qFormat/>
    <w:uiPriority w:val="99"/>
  </w:style>
  <w:style w:type="character" w:customStyle="1" w:styleId="119">
    <w:name w:val="批注框文本 Char1"/>
    <w:basedOn w:val="48"/>
    <w:semiHidden/>
    <w:qFormat/>
    <w:uiPriority w:val="99"/>
    <w:rPr>
      <w:sz w:val="18"/>
      <w:szCs w:val="18"/>
    </w:rPr>
  </w:style>
  <w:style w:type="character" w:customStyle="1" w:styleId="120">
    <w:name w:val="批注文字 Char1"/>
    <w:basedOn w:val="48"/>
    <w:link w:val="12"/>
    <w:qFormat/>
    <w:uiPriority w:val="99"/>
  </w:style>
  <w:style w:type="character" w:customStyle="1" w:styleId="121">
    <w:name w:val="批注主题 Char1"/>
    <w:basedOn w:val="120"/>
    <w:semiHidden/>
    <w:qFormat/>
    <w:uiPriority w:val="99"/>
    <w:rPr>
      <w:b/>
      <w:bCs/>
    </w:rPr>
  </w:style>
  <w:style w:type="character" w:customStyle="1" w:styleId="122">
    <w:name w:val="文档结构图 Char"/>
    <w:basedOn w:val="48"/>
    <w:link w:val="17"/>
    <w:semiHidden/>
    <w:qFormat/>
    <w:uiPriority w:val="0"/>
    <w:rPr>
      <w:rFonts w:ascii="Times New Roman" w:hAnsi="Times New Roman" w:eastAsia="宋体" w:cs="Times New Roman"/>
      <w:shd w:val="clear" w:color="auto" w:fill="000080"/>
    </w:rPr>
  </w:style>
  <w:style w:type="character" w:customStyle="1" w:styleId="123">
    <w:name w:val="页眉 Char1"/>
    <w:basedOn w:val="48"/>
    <w:semiHidden/>
    <w:qFormat/>
    <w:uiPriority w:val="99"/>
    <w:rPr>
      <w:sz w:val="18"/>
      <w:szCs w:val="18"/>
    </w:rPr>
  </w:style>
  <w:style w:type="character" w:customStyle="1" w:styleId="124">
    <w:name w:val="日期 Char1"/>
    <w:basedOn w:val="48"/>
    <w:semiHidden/>
    <w:qFormat/>
    <w:uiPriority w:val="99"/>
  </w:style>
  <w:style w:type="paragraph" w:customStyle="1" w:styleId="12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126">
    <w:name w:val="标题 Char2"/>
    <w:basedOn w:val="48"/>
    <w:qFormat/>
    <w:uiPriority w:val="10"/>
    <w:rPr>
      <w:rFonts w:eastAsia="宋体" w:asciiTheme="majorHAnsi" w:hAnsiTheme="majorHAnsi" w:cstheme="majorBidi"/>
      <w:b/>
      <w:bCs/>
      <w:sz w:val="32"/>
      <w:szCs w:val="32"/>
    </w:rPr>
  </w:style>
  <w:style w:type="character" w:customStyle="1" w:styleId="127">
    <w:name w:val="正文首行缩进 2 Char"/>
    <w:basedOn w:val="109"/>
    <w:link w:val="32"/>
    <w:qFormat/>
    <w:uiPriority w:val="99"/>
    <w:rPr>
      <w:rFonts w:ascii="仿宋_GB2312" w:hAnsi="Times New Roman" w:eastAsia="仿宋_GB2312"/>
      <w:sz w:val="28"/>
      <w:szCs w:val="24"/>
    </w:rPr>
  </w:style>
  <w:style w:type="character" w:customStyle="1" w:styleId="128">
    <w:name w:val="纯文本 Char2"/>
    <w:basedOn w:val="48"/>
    <w:semiHidden/>
    <w:qFormat/>
    <w:uiPriority w:val="99"/>
    <w:rPr>
      <w:rFonts w:ascii="宋体" w:hAnsi="Courier New" w:eastAsia="宋体" w:cs="Courier New"/>
      <w:szCs w:val="21"/>
    </w:rPr>
  </w:style>
  <w:style w:type="paragraph" w:customStyle="1" w:styleId="129">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30">
    <w:name w:val="HTML 预设格式 Char"/>
    <w:basedOn w:val="48"/>
    <w:link w:val="45"/>
    <w:qFormat/>
    <w:uiPriority w:val="99"/>
    <w:rPr>
      <w:rFonts w:ascii="宋体" w:hAnsi="宋体" w:eastAsia="宋体" w:cs="宋体"/>
      <w:kern w:val="0"/>
      <w:sz w:val="24"/>
      <w:szCs w:val="24"/>
    </w:rPr>
  </w:style>
  <w:style w:type="character" w:customStyle="1" w:styleId="131">
    <w:name w:val="正文首行缩进 Char2"/>
    <w:basedOn w:val="118"/>
    <w:semiHidden/>
    <w:qFormat/>
    <w:uiPriority w:val="99"/>
  </w:style>
  <w:style w:type="character" w:customStyle="1" w:styleId="132">
    <w:name w:val="正文文本 2 Char1"/>
    <w:basedOn w:val="48"/>
    <w:semiHidden/>
    <w:qFormat/>
    <w:uiPriority w:val="99"/>
  </w:style>
  <w:style w:type="character" w:customStyle="1" w:styleId="133">
    <w:name w:val="尾注文本 Char1"/>
    <w:basedOn w:val="48"/>
    <w:semiHidden/>
    <w:qFormat/>
    <w:uiPriority w:val="99"/>
  </w:style>
  <w:style w:type="paragraph" w:customStyle="1" w:styleId="13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5">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37">
    <w:name w:val="小圆点"/>
    <w:basedOn w:val="1"/>
    <w:qFormat/>
    <w:uiPriority w:val="0"/>
    <w:pPr>
      <w:numPr>
        <w:ilvl w:val="0"/>
        <w:numId w:val="3"/>
      </w:numPr>
      <w:snapToGrid w:val="0"/>
      <w:spacing w:line="300" w:lineRule="auto"/>
    </w:pPr>
    <w:rPr>
      <w:rFonts w:ascii="Times New Roman" w:hAnsi="Times New Roman" w:eastAsia="楷体_GB2312" w:cs="Times New Roman"/>
      <w:sz w:val="18"/>
      <w:szCs w:val="20"/>
    </w:rPr>
  </w:style>
  <w:style w:type="paragraph" w:customStyle="1" w:styleId="138">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sz w:val="22"/>
      <w:szCs w:val="22"/>
      <w:u w:color="000000"/>
      <w:lang w:val="zh-TW" w:eastAsia="zh-TW" w:bidi="ar-SA"/>
    </w:rPr>
  </w:style>
  <w:style w:type="paragraph" w:customStyle="1" w:styleId="140">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41">
    <w:name w:val="表格内正文"/>
    <w:qFormat/>
    <w:uiPriority w:val="0"/>
    <w:pPr>
      <w:widowControl w:val="0"/>
      <w:adjustRightInd w:val="0"/>
      <w:spacing w:line="240" w:lineRule="atLeast"/>
      <w:jc w:val="both"/>
      <w:textAlignment w:val="baseline"/>
    </w:pPr>
    <w:rPr>
      <w:rFonts w:ascii="Times New Roman" w:hAnsi="Times New Roman" w:eastAsia="宋体" w:cs="Times New Roman"/>
      <w:sz w:val="21"/>
      <w:szCs w:val="21"/>
      <w:lang w:val="en-US" w:eastAsia="zh-CN" w:bidi="ar-SA"/>
    </w:rPr>
  </w:style>
  <w:style w:type="paragraph" w:customStyle="1" w:styleId="142">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43">
    <w:name w:val="图片居中"/>
    <w:basedOn w:val="1"/>
    <w:next w:val="14"/>
    <w:qFormat/>
    <w:uiPriority w:val="0"/>
    <w:pPr>
      <w:ind w:left="-1080" w:leftChars="-450" w:right="-1234" w:rightChars="-514"/>
      <w:jc w:val="center"/>
    </w:pPr>
    <w:rPr>
      <w:rFonts w:ascii="Times New Roman" w:hAnsi="Times New Roman" w:eastAsia="宋体" w:cs="Times New Roman"/>
      <w:sz w:val="24"/>
      <w:szCs w:val="24"/>
    </w:rPr>
  </w:style>
  <w:style w:type="paragraph" w:customStyle="1" w:styleId="144">
    <w:name w:val="编号3"/>
    <w:basedOn w:val="1"/>
    <w:qFormat/>
    <w:uiPriority w:val="0"/>
    <w:pPr>
      <w:tabs>
        <w:tab w:val="left" w:pos="1260"/>
      </w:tabs>
      <w:spacing w:afterLines="30" w:line="288" w:lineRule="auto"/>
      <w:ind w:left="1260" w:hanging="693"/>
    </w:pPr>
    <w:rPr>
      <w:rFonts w:ascii="Times New Roman" w:hAnsi="Times New Roman" w:eastAsia="宋体" w:cs="Times New Roman"/>
      <w:bCs/>
      <w:sz w:val="24"/>
      <w:szCs w:val="24"/>
    </w:rPr>
  </w:style>
  <w:style w:type="paragraph" w:customStyle="1" w:styleId="145">
    <w:name w:val="表格文字+居中对齐"/>
    <w:basedOn w:val="1"/>
    <w:qFormat/>
    <w:uiPriority w:val="0"/>
    <w:pPr>
      <w:adjustRightInd w:val="0"/>
      <w:snapToGrid w:val="0"/>
      <w:jc w:val="center"/>
    </w:pPr>
    <w:rPr>
      <w:rFonts w:ascii="Times New Roman" w:hAnsi="Times New Roman" w:eastAsia="宋体" w:cs="Times New Roman"/>
      <w:sz w:val="24"/>
      <w:szCs w:val="24"/>
    </w:rPr>
  </w:style>
  <w:style w:type="paragraph" w:customStyle="1" w:styleId="146">
    <w:name w:val="xl8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8">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49">
    <w:name w:val="xl9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0">
    <w:name w:val="xl9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51">
    <w:name w:val="表格中正文"/>
    <w:qFormat/>
    <w:uiPriority w:val="0"/>
    <w:pPr>
      <w:widowControl w:val="0"/>
      <w:adjustRightInd w:val="0"/>
      <w:spacing w:before="60" w:after="60"/>
      <w:jc w:val="both"/>
      <w:textAlignment w:val="baseline"/>
    </w:pPr>
    <w:rPr>
      <w:rFonts w:ascii="Times New Roman" w:hAnsi="Times New Roman" w:eastAsia="宋体" w:cs="Times New Roman"/>
      <w:sz w:val="21"/>
      <w:lang w:val="en-US" w:eastAsia="zh-CN" w:bidi="ar-SA"/>
    </w:rPr>
  </w:style>
  <w:style w:type="paragraph" w:customStyle="1" w:styleId="1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3">
    <w:name w:val="加粗正文"/>
    <w:basedOn w:val="14"/>
    <w:qFormat/>
    <w:uiPriority w:val="0"/>
    <w:pPr>
      <w:spacing w:afterLines="30" w:line="288" w:lineRule="auto"/>
      <w:ind w:firstLine="482" w:firstLineChars="200"/>
    </w:pPr>
    <w:rPr>
      <w:b/>
      <w:bCs/>
      <w:sz w:val="24"/>
    </w:rPr>
  </w:style>
  <w:style w:type="paragraph" w:customStyle="1" w:styleId="154">
    <w:name w:val="xl9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56">
    <w:name w:val="l小标题"/>
    <w:next w:val="157"/>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157">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158">
    <w:name w:val="表中正文"/>
    <w:qFormat/>
    <w:uiPriority w:val="0"/>
    <w:pPr>
      <w:widowControl w:val="0"/>
      <w:adjustRightInd w:val="0"/>
      <w:spacing w:line="260" w:lineRule="atLeast"/>
      <w:jc w:val="center"/>
      <w:textAlignment w:val="baseline"/>
    </w:pPr>
    <w:rPr>
      <w:rFonts w:ascii="Times New Roman" w:hAnsi="Times New Roman" w:eastAsia="宋体" w:cs="Times New Roman"/>
      <w:sz w:val="24"/>
      <w:lang w:val="en-US" w:eastAsia="zh-CN" w:bidi="ar-SA"/>
    </w:rPr>
  </w:style>
  <w:style w:type="paragraph" w:customStyle="1" w:styleId="159">
    <w:name w:val="表中文字"/>
    <w:qFormat/>
    <w:uiPriority w:val="0"/>
    <w:pPr>
      <w:widowControl w:val="0"/>
      <w:adjustRightInd w:val="0"/>
      <w:spacing w:before="60" w:after="60" w:line="240" w:lineRule="atLeast"/>
      <w:jc w:val="center"/>
      <w:textAlignment w:val="baseline"/>
    </w:pPr>
    <w:rPr>
      <w:rFonts w:ascii="宋体" w:hAnsi="Times New Roman" w:eastAsia="宋体" w:cs="Times New Roman"/>
      <w:sz w:val="28"/>
      <w:lang w:val="en-US" w:eastAsia="zh-CN" w:bidi="ar-SA"/>
    </w:rPr>
  </w:style>
  <w:style w:type="paragraph" w:customStyle="1" w:styleId="16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4"/>
      <w:szCs w:val="24"/>
    </w:rPr>
  </w:style>
  <w:style w:type="paragraph" w:customStyle="1" w:styleId="161">
    <w:name w:val="3"/>
    <w:basedOn w:val="1"/>
    <w:next w:val="22"/>
    <w:qFormat/>
    <w:uiPriority w:val="0"/>
    <w:pPr>
      <w:spacing w:line="360" w:lineRule="auto"/>
      <w:ind w:left="420" w:right="22" w:firstLine="480"/>
    </w:pPr>
    <w:rPr>
      <w:rFonts w:ascii="宋体" w:hAnsi="宋体" w:eastAsia="宋体" w:cs="Times New Roman"/>
      <w:szCs w:val="20"/>
    </w:rPr>
  </w:style>
  <w:style w:type="paragraph" w:customStyle="1" w:styleId="162">
    <w:name w:val="xl6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64">
    <w:name w:val="样式1"/>
    <w:basedOn w:val="1"/>
    <w:next w:val="5"/>
    <w:qFormat/>
    <w:uiPriority w:val="0"/>
    <w:pPr>
      <w:spacing w:line="360" w:lineRule="auto"/>
    </w:pPr>
    <w:rPr>
      <w:rFonts w:ascii="仿宋_GB2312" w:hAnsi="Times New Roman" w:eastAsia="仿宋_GB2312" w:cs="Times New Roman"/>
      <w:color w:val="000000"/>
      <w:sz w:val="28"/>
      <w:szCs w:val="28"/>
    </w:rPr>
  </w:style>
  <w:style w:type="paragraph" w:customStyle="1" w:styleId="16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67">
    <w:name w:val="列出段落11"/>
    <w:basedOn w:val="1"/>
    <w:qFormat/>
    <w:uiPriority w:val="34"/>
    <w:pPr>
      <w:ind w:firstLine="420" w:firstLineChars="200"/>
    </w:pPr>
    <w:rPr>
      <w:rFonts w:ascii="Calibri" w:hAnsi="Calibri" w:eastAsia="宋体" w:cs="Times New Roman"/>
    </w:rPr>
  </w:style>
  <w:style w:type="paragraph" w:customStyle="1" w:styleId="168">
    <w:name w:val="正文1"/>
    <w:basedOn w:val="1"/>
    <w:qFormat/>
    <w:uiPriority w:val="0"/>
    <w:pPr>
      <w:spacing w:beforeLines="50" w:afterLines="50" w:line="288" w:lineRule="auto"/>
      <w:ind w:firstLine="200" w:firstLineChars="200"/>
    </w:pPr>
    <w:rPr>
      <w:rFonts w:ascii="Times New Roman" w:hAnsi="Times New Roman" w:eastAsia="宋体" w:cs="Times New Roman"/>
      <w:sz w:val="24"/>
    </w:rPr>
  </w:style>
  <w:style w:type="paragraph" w:customStyle="1" w:styleId="169">
    <w:name w:val="图文字体"/>
    <w:basedOn w:val="1"/>
    <w:qFormat/>
    <w:uiPriority w:val="0"/>
    <w:pPr>
      <w:snapToGrid w:val="0"/>
      <w:spacing w:line="300" w:lineRule="auto"/>
    </w:pPr>
    <w:rPr>
      <w:rFonts w:ascii="Times New Roman" w:hAnsi="Times New Roman" w:eastAsia="楷体_GB2312" w:cs="Times New Roman"/>
      <w:sz w:val="18"/>
      <w:szCs w:val="20"/>
    </w:rPr>
  </w:style>
  <w:style w:type="paragraph" w:customStyle="1" w:styleId="170">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1">
    <w:name w:val="1.Text"/>
    <w:basedOn w:val="1"/>
    <w:qFormat/>
    <w:uiPriority w:val="0"/>
    <w:pPr>
      <w:autoSpaceDE w:val="0"/>
      <w:adjustRightInd w:val="0"/>
      <w:snapToGrid w:val="0"/>
      <w:spacing w:before="50" w:line="360" w:lineRule="auto"/>
      <w:ind w:firstLine="200" w:firstLineChars="200"/>
    </w:pPr>
    <w:rPr>
      <w:rFonts w:ascii="宋体" w:hAnsi="宋体" w:eastAsia="宋体" w:cs="Times New Roman"/>
      <w:snapToGrid w:val="0"/>
      <w:szCs w:val="20"/>
    </w:rPr>
  </w:style>
  <w:style w:type="paragraph" w:customStyle="1" w:styleId="172">
    <w:name w:val="2"/>
    <w:basedOn w:val="1"/>
    <w:next w:val="21"/>
    <w:qFormat/>
    <w:uiPriority w:val="0"/>
    <w:pPr>
      <w:ind w:left="559" w:leftChars="266"/>
    </w:pPr>
    <w:rPr>
      <w:rFonts w:ascii="仿宋_GB2312" w:hAnsi="Times New Roman" w:eastAsia="仿宋_GB2312" w:cs="Times New Roman"/>
      <w:sz w:val="28"/>
      <w:szCs w:val="24"/>
    </w:rPr>
  </w:style>
  <w:style w:type="paragraph" w:customStyle="1" w:styleId="173">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4">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75">
    <w:name w:val="列出段落121"/>
    <w:basedOn w:val="1"/>
    <w:qFormat/>
    <w:uiPriority w:val="34"/>
    <w:pPr>
      <w:ind w:firstLine="420" w:firstLineChars="200"/>
    </w:pPr>
    <w:rPr>
      <w:rFonts w:ascii="Times New Roman" w:hAnsi="Times New Roman" w:eastAsia="宋体" w:cs="Times New Roman"/>
    </w:rPr>
  </w:style>
  <w:style w:type="paragraph" w:customStyle="1" w:styleId="176">
    <w:name w:val="xl8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7">
    <w:name w:val="样式 标题 3 + (中文) 黑体 小四 非加粗 段前: 7.8 磅 段后: 0 磅 行距: 固定值 20 磅"/>
    <w:basedOn w:val="4"/>
    <w:qFormat/>
    <w:uiPriority w:val="0"/>
    <w:pPr>
      <w:tabs>
        <w:tab w:val="clear" w:pos="1418"/>
      </w:tabs>
      <w:spacing w:before="0" w:after="0" w:line="400" w:lineRule="exact"/>
      <w:ind w:firstLine="0"/>
    </w:pPr>
    <w:rPr>
      <w:rFonts w:ascii="Times New Roman" w:hAnsi="Times New Roman" w:eastAsia="黑体" w:cs="宋体"/>
      <w:b w:val="0"/>
      <w:bCs w:val="0"/>
      <w:sz w:val="24"/>
      <w:szCs w:val="20"/>
    </w:rPr>
  </w:style>
  <w:style w:type="paragraph" w:customStyle="1" w:styleId="178">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79">
    <w:name w:val="列出段落12"/>
    <w:basedOn w:val="1"/>
    <w:qFormat/>
    <w:uiPriority w:val="99"/>
    <w:pPr>
      <w:ind w:firstLine="420" w:firstLineChars="200"/>
    </w:pPr>
    <w:rPr>
      <w:rFonts w:ascii="Times New Roman" w:hAnsi="Times New Roman" w:eastAsia="宋体" w:cs="Times New Roman"/>
    </w:rPr>
  </w:style>
  <w:style w:type="paragraph" w:customStyle="1" w:styleId="180">
    <w:name w:val="正文（栏位说明）"/>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81">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3">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84">
    <w:name w:val="样式 标题 2 + Times New Roman 四号 非加粗 段前: 5 磅 段后: 0 磅 行距: 固定值 20..."/>
    <w:basedOn w:val="3"/>
    <w:qFormat/>
    <w:uiPriority w:val="0"/>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18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6">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kern w:val="0"/>
      <w:sz w:val="24"/>
      <w:szCs w:val="24"/>
    </w:rPr>
  </w:style>
  <w:style w:type="paragraph" w:customStyle="1" w:styleId="187">
    <w:name w:val="aaa"/>
    <w:basedOn w:val="1"/>
    <w:qFormat/>
    <w:uiPriority w:val="0"/>
    <w:pPr>
      <w:spacing w:after="120" w:line="360" w:lineRule="auto"/>
      <w:ind w:firstLine="567"/>
    </w:pPr>
    <w:rPr>
      <w:rFonts w:ascii="宋体" w:hAnsi="宋体" w:eastAsia="宋体" w:cs="Times New Roman"/>
      <w:szCs w:val="20"/>
    </w:rPr>
  </w:style>
  <w:style w:type="paragraph" w:customStyle="1" w:styleId="188">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89">
    <w:name w:val="p0"/>
    <w:basedOn w:val="1"/>
    <w:qFormat/>
    <w:uiPriority w:val="99"/>
    <w:rPr>
      <w:rFonts w:ascii="Times New Roman" w:hAnsi="Times New Roman" w:eastAsia="宋体" w:cs="Times New Roman"/>
      <w:kern w:val="0"/>
      <w:szCs w:val="20"/>
    </w:rPr>
  </w:style>
  <w:style w:type="paragraph" w:customStyle="1" w:styleId="190">
    <w:name w:val="Char"/>
    <w:basedOn w:val="1"/>
    <w:qFormat/>
    <w:uiPriority w:val="0"/>
    <w:rPr>
      <w:rFonts w:ascii="Tahoma" w:hAnsi="Tahoma" w:eastAsia="宋体" w:cs="Times New Roman"/>
      <w:sz w:val="24"/>
      <w:szCs w:val="20"/>
    </w:rPr>
  </w:style>
  <w:style w:type="paragraph" w:customStyle="1" w:styleId="191">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9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 w:hAnsi="楷体" w:eastAsia="楷体" w:cs="宋体"/>
      <w:b/>
      <w:bCs/>
      <w:color w:val="000000"/>
      <w:kern w:val="0"/>
      <w:sz w:val="24"/>
      <w:szCs w:val="24"/>
    </w:rPr>
  </w:style>
  <w:style w:type="paragraph" w:customStyle="1" w:styleId="19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6">
    <w:name w:val="小标题"/>
    <w:basedOn w:val="1"/>
    <w:next w:val="1"/>
    <w:qFormat/>
    <w:uiPriority w:val="0"/>
    <w:pPr>
      <w:numPr>
        <w:ilvl w:val="0"/>
        <w:numId w:val="4"/>
      </w:numPr>
      <w:snapToGrid w:val="0"/>
      <w:spacing w:before="120" w:after="120"/>
    </w:pPr>
    <w:rPr>
      <w:rFonts w:ascii="Times New Roman" w:hAnsi="Times New Roman" w:eastAsia="黑体" w:cs="Times New Roman"/>
      <w:b/>
      <w:sz w:val="30"/>
      <w:szCs w:val="20"/>
    </w:rPr>
  </w:style>
  <w:style w:type="paragraph" w:customStyle="1" w:styleId="197">
    <w:name w:val="红色+标题4"/>
    <w:basedOn w:val="5"/>
    <w:next w:val="1"/>
    <w:qFormat/>
    <w:uiPriority w:val="0"/>
    <w:pPr>
      <w:tabs>
        <w:tab w:val="left" w:pos="851"/>
      </w:tabs>
      <w:spacing w:before="120" w:after="120" w:line="360" w:lineRule="auto"/>
      <w:ind w:left="851" w:hanging="851"/>
    </w:pPr>
    <w:rPr>
      <w:rFonts w:ascii="Times New Roman" w:hAnsi="Times New Roman"/>
      <w:color w:val="FF0000"/>
      <w:kern w:val="2"/>
    </w:rPr>
  </w:style>
  <w:style w:type="paragraph" w:customStyle="1" w:styleId="198">
    <w:name w:val="xl95"/>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9">
    <w:name w:val="表格文字+表头加粗"/>
    <w:basedOn w:val="1"/>
    <w:qFormat/>
    <w:uiPriority w:val="0"/>
    <w:pPr>
      <w:adjustRightInd w:val="0"/>
      <w:snapToGrid w:val="0"/>
      <w:spacing w:beforeLines="20" w:afterLines="20"/>
      <w:jc w:val="center"/>
    </w:pPr>
    <w:rPr>
      <w:rFonts w:ascii="Times New Roman" w:hAnsi="Times New Roman" w:eastAsia="宋体" w:cs="Times New Roman"/>
      <w:b/>
      <w:sz w:val="24"/>
      <w:szCs w:val="24"/>
    </w:rPr>
  </w:style>
  <w:style w:type="paragraph" w:customStyle="1" w:styleId="200">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1">
    <w:name w:val="样式8"/>
    <w:basedOn w:val="1"/>
    <w:qFormat/>
    <w:uiPriority w:val="0"/>
    <w:pPr>
      <w:widowControl/>
      <w:spacing w:before="120" w:line="288" w:lineRule="auto"/>
      <w:ind w:left="1713" w:hanging="454"/>
    </w:pPr>
    <w:rPr>
      <w:rFonts w:ascii="Arial" w:hAnsi="Arial" w:eastAsia="宋体" w:cs="Times New Roman"/>
      <w:kern w:val="0"/>
      <w:szCs w:val="20"/>
    </w:rPr>
  </w:style>
  <w:style w:type="paragraph" w:customStyle="1" w:styleId="202">
    <w:name w:val="xl8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3">
    <w:name w:val="xl10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4">
    <w:name w:val="xl23"/>
    <w:basedOn w:val="1"/>
    <w:qFormat/>
    <w:uiPriority w:val="0"/>
    <w:pPr>
      <w:widowControl/>
      <w:pBdr>
        <w:left w:val="single" w:color="auto" w:sz="4" w:space="0"/>
        <w:bottom w:val="single" w:color="auto" w:sz="4" w:space="0"/>
        <w:right w:val="single" w:color="auto" w:sz="4" w:space="0"/>
      </w:pBdr>
      <w:spacing w:before="100" w:after="100"/>
      <w:textAlignment w:val="top"/>
    </w:pPr>
    <w:rPr>
      <w:rFonts w:ascii="宋体" w:hAnsi="宋体" w:eastAsia="宋体" w:cs="Times New Roman"/>
      <w:kern w:val="0"/>
      <w:sz w:val="24"/>
      <w:szCs w:val="24"/>
    </w:rPr>
  </w:style>
  <w:style w:type="paragraph" w:customStyle="1" w:styleId="205">
    <w:name w:val="缺省文本"/>
    <w:basedOn w:val="1"/>
    <w:qFormat/>
    <w:uiPriority w:val="0"/>
    <w:pPr>
      <w:snapToGrid w:val="0"/>
    </w:pPr>
    <w:rPr>
      <w:rFonts w:ascii="Times New Roman" w:hAnsi="Times New Roman" w:eastAsia="Times New Roman" w:cs="Times New Roman"/>
      <w:snapToGrid w:val="0"/>
      <w:sz w:val="24"/>
      <w:szCs w:val="20"/>
      <w:lang w:eastAsia="en-US"/>
    </w:rPr>
  </w:style>
  <w:style w:type="paragraph" w:customStyle="1" w:styleId="206">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07">
    <w:name w:val="bullet 1"/>
    <w:basedOn w:val="1"/>
    <w:qFormat/>
    <w:uiPriority w:val="0"/>
    <w:pPr>
      <w:tabs>
        <w:tab w:val="left" w:pos="845"/>
      </w:tabs>
      <w:spacing w:beforeLines="50" w:afterLines="50" w:line="276" w:lineRule="auto"/>
      <w:ind w:left="845" w:hanging="425"/>
    </w:pPr>
    <w:rPr>
      <w:rFonts w:ascii="Times New Roman" w:hAnsi="Times New Roman" w:eastAsia="宋体" w:cs="Times New Roman"/>
      <w:szCs w:val="21"/>
    </w:rPr>
  </w:style>
  <w:style w:type="paragraph" w:customStyle="1" w:styleId="208">
    <w:name w:val="xl6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09">
    <w:name w:val="xl7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1">
    <w:name w:val="xl82"/>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212">
    <w:name w:val="l列表1"/>
    <w:qFormat/>
    <w:uiPriority w:val="0"/>
    <w:pPr>
      <w:numPr>
        <w:ilvl w:val="0"/>
        <w:numId w:val="5"/>
      </w:numPr>
      <w:tabs>
        <w:tab w:val="left" w:pos="735"/>
      </w:tabs>
      <w:spacing w:line="360" w:lineRule="auto"/>
    </w:pPr>
    <w:rPr>
      <w:rFonts w:ascii="Times New Roman" w:hAnsi="Times New Roman" w:eastAsia="宋体" w:cs="Times New Roman"/>
      <w:iCs/>
      <w:kern w:val="2"/>
      <w:sz w:val="22"/>
      <w:szCs w:val="22"/>
      <w:lang w:val="en-US" w:eastAsia="zh-CN" w:bidi="ar-SA"/>
    </w:rPr>
  </w:style>
  <w:style w:type="paragraph" w:customStyle="1" w:styleId="213">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214">
    <w:name w:val="编号2"/>
    <w:basedOn w:val="1"/>
    <w:qFormat/>
    <w:uiPriority w:val="0"/>
    <w:pPr>
      <w:tabs>
        <w:tab w:val="left" w:pos="1080"/>
      </w:tabs>
      <w:spacing w:afterLines="30" w:line="288" w:lineRule="auto"/>
      <w:ind w:left="1080" w:leftChars="150" w:hanging="720" w:hangingChars="300"/>
    </w:pPr>
    <w:rPr>
      <w:rFonts w:ascii="Times New Roman" w:hAnsi="Times New Roman" w:eastAsia="宋体" w:cs="Times New Roman"/>
      <w:sz w:val="24"/>
      <w:szCs w:val="24"/>
    </w:rPr>
  </w:style>
  <w:style w:type="paragraph" w:customStyle="1" w:styleId="215">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216">
    <w:name w:val="表格文字"/>
    <w:basedOn w:val="1"/>
    <w:qFormat/>
    <w:uiPriority w:val="0"/>
    <w:pPr>
      <w:jc w:val="left"/>
      <w:textAlignment w:val="top"/>
    </w:pPr>
    <w:rPr>
      <w:rFonts w:ascii="Times New Roman" w:hAnsi="Times New Roman" w:eastAsia="宋体" w:cs="Times New Roman"/>
      <w:sz w:val="18"/>
      <w:szCs w:val="20"/>
    </w:rPr>
  </w:style>
  <w:style w:type="table" w:customStyle="1" w:styleId="217">
    <w:name w:val="网格型1"/>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Corbel"/>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character" w:customStyle="1" w:styleId="218">
    <w:name w:val="批注文字 字符"/>
    <w:semiHidden/>
    <w:qFormat/>
    <w:uiPriority w:val="99"/>
    <w:rPr>
      <w:kern w:val="2"/>
      <w:sz w:val="28"/>
      <w:szCs w:val="28"/>
    </w:rPr>
  </w:style>
  <w:style w:type="character" w:customStyle="1" w:styleId="219">
    <w:name w:val="批注框文本 字符"/>
    <w:semiHidden/>
    <w:qFormat/>
    <w:uiPriority w:val="99"/>
    <w:rPr>
      <w:kern w:val="2"/>
      <w:sz w:val="18"/>
      <w:szCs w:val="18"/>
    </w:rPr>
  </w:style>
  <w:style w:type="character" w:customStyle="1" w:styleId="220">
    <w:name w:val="页脚 字符"/>
    <w:qFormat/>
    <w:uiPriority w:val="99"/>
  </w:style>
  <w:style w:type="character" w:customStyle="1" w:styleId="221">
    <w:name w:val="日期 字符"/>
    <w:semiHidden/>
    <w:qFormat/>
    <w:uiPriority w:val="99"/>
    <w:rPr>
      <w:kern w:val="2"/>
      <w:sz w:val="28"/>
      <w:szCs w:val="28"/>
    </w:rPr>
  </w:style>
  <w:style w:type="character" w:customStyle="1" w:styleId="222">
    <w:name w:val="标题 1 字符"/>
    <w:qFormat/>
    <w:uiPriority w:val="9"/>
    <w:rPr>
      <w:b/>
      <w:bCs/>
      <w:kern w:val="44"/>
      <w:sz w:val="44"/>
      <w:szCs w:val="44"/>
    </w:rPr>
  </w:style>
  <w:style w:type="character" w:customStyle="1" w:styleId="223">
    <w:name w:val="标题 2 字符"/>
    <w:semiHidden/>
    <w:qFormat/>
    <w:uiPriority w:val="9"/>
    <w:rPr>
      <w:rFonts w:ascii="等线 Light" w:hAnsi="等线 Light" w:eastAsia="等线 Light" w:cs="Times New Roman"/>
      <w:b/>
      <w:bCs/>
      <w:kern w:val="2"/>
      <w:sz w:val="32"/>
      <w:szCs w:val="32"/>
    </w:rPr>
  </w:style>
  <w:style w:type="character" w:customStyle="1" w:styleId="224">
    <w:name w:val="标题 3 字符"/>
    <w:semiHidden/>
    <w:qFormat/>
    <w:uiPriority w:val="9"/>
    <w:rPr>
      <w:b/>
      <w:bCs/>
      <w:kern w:val="2"/>
      <w:sz w:val="32"/>
      <w:szCs w:val="32"/>
    </w:rPr>
  </w:style>
  <w:style w:type="character" w:customStyle="1" w:styleId="225">
    <w:name w:val="标题 4 字符"/>
    <w:semiHidden/>
    <w:qFormat/>
    <w:uiPriority w:val="9"/>
    <w:rPr>
      <w:rFonts w:ascii="等线 Light" w:hAnsi="等线 Light" w:eastAsia="等线 Light" w:cs="Times New Roman"/>
      <w:b/>
      <w:bCs/>
      <w:kern w:val="2"/>
      <w:sz w:val="28"/>
      <w:szCs w:val="28"/>
    </w:rPr>
  </w:style>
  <w:style w:type="character" w:customStyle="1" w:styleId="226">
    <w:name w:val="标题 5 字符"/>
    <w:semiHidden/>
    <w:qFormat/>
    <w:uiPriority w:val="9"/>
    <w:rPr>
      <w:b/>
      <w:bCs/>
      <w:kern w:val="2"/>
      <w:sz w:val="28"/>
      <w:szCs w:val="28"/>
    </w:rPr>
  </w:style>
  <w:style w:type="character" w:customStyle="1" w:styleId="227">
    <w:name w:val="标题 6 字符"/>
    <w:semiHidden/>
    <w:qFormat/>
    <w:uiPriority w:val="9"/>
    <w:rPr>
      <w:rFonts w:ascii="等线 Light" w:hAnsi="等线 Light" w:eastAsia="等线 Light" w:cs="Times New Roman"/>
      <w:b/>
      <w:bCs/>
      <w:kern w:val="2"/>
      <w:sz w:val="24"/>
      <w:szCs w:val="24"/>
    </w:rPr>
  </w:style>
  <w:style w:type="character" w:customStyle="1" w:styleId="228">
    <w:name w:val="标题 7 字符"/>
    <w:semiHidden/>
    <w:qFormat/>
    <w:uiPriority w:val="9"/>
    <w:rPr>
      <w:b/>
      <w:bCs/>
      <w:kern w:val="2"/>
      <w:sz w:val="24"/>
      <w:szCs w:val="24"/>
    </w:rPr>
  </w:style>
  <w:style w:type="character" w:customStyle="1" w:styleId="229">
    <w:name w:val="标题 8 字符"/>
    <w:semiHidden/>
    <w:qFormat/>
    <w:uiPriority w:val="9"/>
    <w:rPr>
      <w:rFonts w:ascii="等线 Light" w:hAnsi="等线 Light" w:eastAsia="等线 Light" w:cs="Times New Roman"/>
      <w:kern w:val="2"/>
      <w:sz w:val="24"/>
      <w:szCs w:val="24"/>
    </w:rPr>
  </w:style>
  <w:style w:type="character" w:customStyle="1" w:styleId="230">
    <w:name w:val="标题 9 字符"/>
    <w:semiHidden/>
    <w:qFormat/>
    <w:uiPriority w:val="9"/>
    <w:rPr>
      <w:rFonts w:ascii="等线 Light" w:hAnsi="等线 Light" w:eastAsia="等线 Light" w:cs="Times New Roman"/>
      <w:kern w:val="2"/>
      <w:sz w:val="21"/>
      <w:szCs w:val="21"/>
    </w:rPr>
  </w:style>
  <w:style w:type="character" w:customStyle="1" w:styleId="231">
    <w:name w:val="页眉 字符"/>
    <w:qFormat/>
    <w:uiPriority w:val="99"/>
    <w:rPr>
      <w:sz w:val="18"/>
      <w:szCs w:val="18"/>
    </w:rPr>
  </w:style>
  <w:style w:type="character" w:customStyle="1" w:styleId="232">
    <w:name w:val="正文缩进 字符"/>
    <w:qFormat/>
    <w:uiPriority w:val="0"/>
  </w:style>
  <w:style w:type="character" w:customStyle="1" w:styleId="233">
    <w:name w:val="正文文本 3 字符1"/>
    <w:qFormat/>
    <w:uiPriority w:val="0"/>
    <w:rPr>
      <w:color w:val="FF0000"/>
      <w:sz w:val="24"/>
      <w:szCs w:val="24"/>
    </w:rPr>
  </w:style>
  <w:style w:type="character" w:customStyle="1" w:styleId="234">
    <w:name w:val="尾注文本 字符1"/>
    <w:qFormat/>
    <w:uiPriority w:val="99"/>
  </w:style>
  <w:style w:type="character" w:customStyle="1" w:styleId="235">
    <w:name w:val="批注主题 字符1"/>
    <w:qFormat/>
    <w:uiPriority w:val="99"/>
    <w:rPr>
      <w:b/>
      <w:bCs/>
    </w:rPr>
  </w:style>
  <w:style w:type="character" w:customStyle="1" w:styleId="236">
    <w:name w:val="正文首行缩进 字符1"/>
    <w:qFormat/>
    <w:uiPriority w:val="0"/>
    <w:rPr>
      <w:szCs w:val="24"/>
    </w:rPr>
  </w:style>
  <w:style w:type="character" w:customStyle="1" w:styleId="237">
    <w:name w:val="正文文本缩进 3 字符1"/>
    <w:qFormat/>
    <w:uiPriority w:val="0"/>
    <w:rPr>
      <w:b/>
      <w:i/>
      <w:color w:val="000000"/>
      <w:szCs w:val="24"/>
      <w:u w:val="single"/>
    </w:rPr>
  </w:style>
  <w:style w:type="character" w:customStyle="1" w:styleId="238">
    <w:name w:val="标题 9 字符1"/>
    <w:qFormat/>
    <w:uiPriority w:val="0"/>
    <w:rPr>
      <w:rFonts w:ascii="Arial" w:hAnsi="Arial" w:eastAsia="黑体"/>
      <w:kern w:val="2"/>
      <w:sz w:val="21"/>
      <w:szCs w:val="21"/>
    </w:rPr>
  </w:style>
  <w:style w:type="character" w:customStyle="1" w:styleId="239">
    <w:name w:val="标题 2 字符1"/>
    <w:qFormat/>
    <w:uiPriority w:val="9"/>
    <w:rPr>
      <w:rFonts w:ascii="Arial" w:hAnsi="Arial" w:eastAsia="黑体"/>
      <w:b/>
      <w:bCs/>
      <w:sz w:val="32"/>
      <w:szCs w:val="32"/>
    </w:rPr>
  </w:style>
  <w:style w:type="character" w:customStyle="1" w:styleId="240">
    <w:name w:val="标题 3 字符1"/>
    <w:qFormat/>
    <w:uiPriority w:val="9"/>
    <w:rPr>
      <w:rFonts w:ascii="Calibri" w:hAnsi="Calibri" w:eastAsia="宋体"/>
      <w:b/>
      <w:bCs/>
      <w:sz w:val="32"/>
      <w:szCs w:val="32"/>
    </w:rPr>
  </w:style>
  <w:style w:type="character" w:customStyle="1" w:styleId="241">
    <w:name w:val="列出段落 字符"/>
    <w:qFormat/>
    <w:uiPriority w:val="99"/>
  </w:style>
  <w:style w:type="character" w:customStyle="1" w:styleId="242">
    <w:name w:val="标题 6 字符1"/>
    <w:qFormat/>
    <w:uiPriority w:val="0"/>
    <w:rPr>
      <w:rFonts w:ascii="Arial" w:hAnsi="Arial" w:eastAsia="黑体"/>
      <w:bCs/>
      <w:kern w:val="2"/>
      <w:sz w:val="21"/>
      <w:szCs w:val="24"/>
    </w:rPr>
  </w:style>
  <w:style w:type="character" w:customStyle="1" w:styleId="243">
    <w:name w:val="正文文本 字符1"/>
    <w:qFormat/>
    <w:uiPriority w:val="0"/>
    <w:rPr>
      <w:sz w:val="24"/>
      <w:szCs w:val="24"/>
    </w:rPr>
  </w:style>
  <w:style w:type="character" w:customStyle="1" w:styleId="244">
    <w:name w:val="正文文本 2 字符1"/>
    <w:qFormat/>
    <w:uiPriority w:val="0"/>
    <w:rPr>
      <w:color w:val="000000"/>
      <w:szCs w:val="24"/>
    </w:rPr>
  </w:style>
  <w:style w:type="character" w:customStyle="1" w:styleId="245">
    <w:name w:val="标题 字符1"/>
    <w:qFormat/>
    <w:uiPriority w:val="0"/>
    <w:rPr>
      <w:rFonts w:ascii="Cambria" w:hAnsi="Cambria"/>
      <w:b/>
      <w:bCs/>
      <w:sz w:val="32"/>
      <w:szCs w:val="32"/>
    </w:rPr>
  </w:style>
  <w:style w:type="character" w:customStyle="1" w:styleId="246">
    <w:name w:val="标题 4 字符1"/>
    <w:qFormat/>
    <w:uiPriority w:val="9"/>
    <w:rPr>
      <w:rFonts w:ascii="Cambria" w:hAnsi="Cambria" w:eastAsia="宋体"/>
      <w:b/>
      <w:bCs/>
      <w:sz w:val="28"/>
      <w:szCs w:val="28"/>
    </w:rPr>
  </w:style>
  <w:style w:type="character" w:customStyle="1" w:styleId="247">
    <w:name w:val="标题 7 字符1"/>
    <w:qFormat/>
    <w:uiPriority w:val="0"/>
    <w:rPr>
      <w:rFonts w:eastAsia="宋体"/>
      <w:b/>
      <w:bCs/>
      <w:kern w:val="2"/>
      <w:sz w:val="24"/>
      <w:szCs w:val="24"/>
    </w:rPr>
  </w:style>
  <w:style w:type="character" w:customStyle="1" w:styleId="248">
    <w:name w:val="标题 5 字符1"/>
    <w:qFormat/>
    <w:uiPriority w:val="0"/>
    <w:rPr>
      <w:rFonts w:eastAsia="黑体"/>
      <w:bCs/>
      <w:kern w:val="2"/>
      <w:sz w:val="24"/>
      <w:szCs w:val="28"/>
    </w:rPr>
  </w:style>
  <w:style w:type="character" w:customStyle="1" w:styleId="249">
    <w:name w:val="标题 8 字符1"/>
    <w:qFormat/>
    <w:uiPriority w:val="0"/>
    <w:rPr>
      <w:rFonts w:ascii="Arial" w:hAnsi="Arial" w:eastAsia="黑体"/>
      <w:kern w:val="2"/>
      <w:sz w:val="24"/>
      <w:szCs w:val="24"/>
    </w:rPr>
  </w:style>
  <w:style w:type="character" w:customStyle="1" w:styleId="250">
    <w:name w:val="批注框文本 字符1"/>
    <w:qFormat/>
    <w:uiPriority w:val="99"/>
    <w:rPr>
      <w:sz w:val="18"/>
      <w:szCs w:val="18"/>
    </w:rPr>
  </w:style>
  <w:style w:type="character" w:customStyle="1" w:styleId="251">
    <w:name w:val="正文文本缩进 2 字符1"/>
    <w:qFormat/>
    <w:uiPriority w:val="99"/>
  </w:style>
  <w:style w:type="character" w:customStyle="1" w:styleId="252">
    <w:name w:val="日期 字符1"/>
    <w:qFormat/>
    <w:uiPriority w:val="99"/>
    <w:rPr>
      <w:rFonts w:ascii="Times New Roman" w:hAnsi="Times New Roman" w:eastAsia="幼圆"/>
      <w:sz w:val="28"/>
    </w:rPr>
  </w:style>
  <w:style w:type="character" w:customStyle="1" w:styleId="253">
    <w:name w:val="正文文本缩进 字符1"/>
    <w:qFormat/>
    <w:uiPriority w:val="0"/>
    <w:rPr>
      <w:rFonts w:ascii="仿宋_GB2312"/>
      <w:sz w:val="28"/>
      <w:szCs w:val="24"/>
    </w:rPr>
  </w:style>
  <w:style w:type="character" w:customStyle="1" w:styleId="254">
    <w:name w:val="标题 1 字符1"/>
    <w:qFormat/>
    <w:uiPriority w:val="9"/>
    <w:rPr>
      <w:rFonts w:ascii="Calibri" w:hAnsi="Calibri" w:eastAsia="宋体"/>
      <w:b/>
      <w:bCs/>
      <w:kern w:val="44"/>
      <w:sz w:val="44"/>
      <w:szCs w:val="44"/>
    </w:rPr>
  </w:style>
  <w:style w:type="character" w:customStyle="1" w:styleId="255">
    <w:name w:val="纯文本 字符1"/>
    <w:qFormat/>
    <w:uiPriority w:val="0"/>
    <w:rPr>
      <w:rFonts w:ascii="宋体" w:hAnsi="Courier New"/>
    </w:rPr>
  </w:style>
  <w:style w:type="character" w:customStyle="1" w:styleId="256">
    <w:name w:val="正文文本缩进 字符"/>
    <w:semiHidden/>
    <w:qFormat/>
    <w:uiPriority w:val="99"/>
    <w:rPr>
      <w:kern w:val="2"/>
      <w:sz w:val="28"/>
      <w:szCs w:val="28"/>
    </w:rPr>
  </w:style>
  <w:style w:type="character" w:customStyle="1" w:styleId="257">
    <w:name w:val="正文文本缩进 2 字符"/>
    <w:semiHidden/>
    <w:qFormat/>
    <w:uiPriority w:val="99"/>
    <w:rPr>
      <w:kern w:val="2"/>
      <w:sz w:val="28"/>
      <w:szCs w:val="28"/>
    </w:rPr>
  </w:style>
  <w:style w:type="character" w:customStyle="1" w:styleId="258">
    <w:name w:val="正文文本 3 字符"/>
    <w:semiHidden/>
    <w:qFormat/>
    <w:uiPriority w:val="99"/>
    <w:rPr>
      <w:kern w:val="2"/>
      <w:sz w:val="16"/>
      <w:szCs w:val="16"/>
    </w:rPr>
  </w:style>
  <w:style w:type="character" w:customStyle="1" w:styleId="259">
    <w:name w:val="正文文本缩进 3 字符"/>
    <w:semiHidden/>
    <w:qFormat/>
    <w:uiPriority w:val="99"/>
    <w:rPr>
      <w:kern w:val="2"/>
      <w:sz w:val="16"/>
      <w:szCs w:val="16"/>
    </w:rPr>
  </w:style>
  <w:style w:type="character" w:customStyle="1" w:styleId="260">
    <w:name w:val="正文文本 字符"/>
    <w:semiHidden/>
    <w:qFormat/>
    <w:uiPriority w:val="99"/>
    <w:rPr>
      <w:kern w:val="2"/>
      <w:sz w:val="28"/>
      <w:szCs w:val="28"/>
    </w:rPr>
  </w:style>
  <w:style w:type="character" w:customStyle="1" w:styleId="261">
    <w:name w:val="批注主题 字符"/>
    <w:semiHidden/>
    <w:qFormat/>
    <w:uiPriority w:val="99"/>
    <w:rPr>
      <w:b/>
      <w:bCs/>
      <w:kern w:val="2"/>
      <w:sz w:val="28"/>
      <w:szCs w:val="28"/>
    </w:rPr>
  </w:style>
  <w:style w:type="character" w:customStyle="1" w:styleId="262">
    <w:name w:val="文档结构图 字符"/>
    <w:semiHidden/>
    <w:qFormat/>
    <w:uiPriority w:val="0"/>
    <w:rPr>
      <w:kern w:val="2"/>
      <w:sz w:val="28"/>
      <w:szCs w:val="28"/>
      <w:shd w:val="clear" w:color="auto" w:fill="000080"/>
    </w:rPr>
  </w:style>
  <w:style w:type="character" w:customStyle="1" w:styleId="263">
    <w:name w:val="标题 字符"/>
    <w:qFormat/>
    <w:uiPriority w:val="10"/>
    <w:rPr>
      <w:rFonts w:ascii="等线 Light" w:hAnsi="等线 Light" w:eastAsia="宋体" w:cs="Times New Roman"/>
      <w:b/>
      <w:bCs/>
      <w:kern w:val="2"/>
      <w:sz w:val="32"/>
      <w:szCs w:val="32"/>
    </w:rPr>
  </w:style>
  <w:style w:type="character" w:customStyle="1" w:styleId="264">
    <w:name w:val="正文首行缩进 2 字符"/>
    <w:qFormat/>
    <w:uiPriority w:val="99"/>
    <w:rPr>
      <w:rFonts w:ascii="仿宋_GB2312"/>
      <w:kern w:val="2"/>
      <w:sz w:val="28"/>
      <w:szCs w:val="24"/>
    </w:rPr>
  </w:style>
  <w:style w:type="character" w:customStyle="1" w:styleId="265">
    <w:name w:val="纯文本 字符"/>
    <w:semiHidden/>
    <w:qFormat/>
    <w:uiPriority w:val="99"/>
    <w:rPr>
      <w:rFonts w:ascii="宋体" w:hAnsi="Courier New" w:eastAsia="宋体" w:cs="Courier New"/>
      <w:kern w:val="2"/>
      <w:sz w:val="21"/>
      <w:szCs w:val="21"/>
    </w:rPr>
  </w:style>
  <w:style w:type="character" w:customStyle="1" w:styleId="266">
    <w:name w:val="HTML 预设格式 字符"/>
    <w:qFormat/>
    <w:uiPriority w:val="99"/>
    <w:rPr>
      <w:rFonts w:ascii="宋体" w:hAnsi="宋体" w:eastAsia="宋体" w:cs="宋体"/>
      <w:sz w:val="24"/>
      <w:szCs w:val="24"/>
    </w:rPr>
  </w:style>
  <w:style w:type="character" w:customStyle="1" w:styleId="267">
    <w:name w:val="正文首行缩进 字符"/>
    <w:basedOn w:val="260"/>
    <w:semiHidden/>
    <w:qFormat/>
    <w:uiPriority w:val="99"/>
    <w:rPr>
      <w:kern w:val="2"/>
      <w:sz w:val="28"/>
      <w:szCs w:val="28"/>
    </w:rPr>
  </w:style>
  <w:style w:type="character" w:customStyle="1" w:styleId="268">
    <w:name w:val="正文文本 2 字符"/>
    <w:semiHidden/>
    <w:qFormat/>
    <w:uiPriority w:val="99"/>
    <w:rPr>
      <w:kern w:val="2"/>
      <w:sz w:val="28"/>
      <w:szCs w:val="28"/>
    </w:rPr>
  </w:style>
  <w:style w:type="character" w:customStyle="1" w:styleId="269">
    <w:name w:val="尾注文本 字符"/>
    <w:semiHidden/>
    <w:qFormat/>
    <w:uiPriority w:val="99"/>
    <w:rPr>
      <w:kern w:val="2"/>
      <w:sz w:val="28"/>
      <w:szCs w:val="28"/>
    </w:rPr>
  </w:style>
  <w:style w:type="paragraph" w:customStyle="1" w:styleId="270">
    <w:name w:val="Numbered list 2.1"/>
    <w:basedOn w:val="2"/>
    <w:next w:val="1"/>
    <w:qFormat/>
    <w:uiPriority w:val="0"/>
    <w:pPr>
      <w:keepLines w:val="0"/>
      <w:widowControl/>
      <w:numPr>
        <w:ilvl w:val="0"/>
        <w:numId w:val="6"/>
      </w:numPr>
      <w:tabs>
        <w:tab w:val="left" w:pos="720"/>
      </w:tabs>
      <w:spacing w:before="240" w:after="60" w:line="240" w:lineRule="auto"/>
      <w:ind w:left="0" w:firstLine="0" w:firstLineChars="0"/>
      <w:jc w:val="left"/>
    </w:pPr>
    <w:rPr>
      <w:rFonts w:ascii="Futura Bk" w:hAnsi="Futura Bk" w:eastAsia="宋体"/>
      <w:bCs w:val="0"/>
      <w:kern w:val="28"/>
      <w:sz w:val="28"/>
      <w:szCs w:val="20"/>
      <w:lang w:val="en-GB"/>
    </w:rPr>
  </w:style>
  <w:style w:type="paragraph" w:customStyle="1" w:styleId="271">
    <w:name w:val="Numbered list 2.2"/>
    <w:basedOn w:val="3"/>
    <w:next w:val="1"/>
    <w:qFormat/>
    <w:uiPriority w:val="0"/>
    <w:pPr>
      <w:keepLines w:val="0"/>
      <w:widowControl/>
      <w:numPr>
        <w:ilvl w:val="1"/>
        <w:numId w:val="6"/>
      </w:numPr>
      <w:tabs>
        <w:tab w:val="left" w:pos="360"/>
        <w:tab w:val="left" w:pos="720"/>
        <w:tab w:val="clear" w:pos="5490"/>
        <w:tab w:val="clear" w:pos="708"/>
      </w:tabs>
      <w:spacing w:before="240" w:after="60" w:line="240" w:lineRule="auto"/>
      <w:ind w:left="0" w:firstLine="0"/>
      <w:jc w:val="left"/>
      <w:textAlignment w:val="auto"/>
    </w:pPr>
    <w:rPr>
      <w:rFonts w:ascii="Futura Bk" w:hAnsi="Futura Bk" w:eastAsia="Times New Roman"/>
      <w:bCs w:val="0"/>
      <w:sz w:val="24"/>
      <w:szCs w:val="20"/>
      <w:lang w:val="en-GB"/>
    </w:rPr>
  </w:style>
  <w:style w:type="paragraph" w:customStyle="1" w:styleId="272">
    <w:name w:val="Numbered list 2.3"/>
    <w:basedOn w:val="4"/>
    <w:next w:val="1"/>
    <w:qFormat/>
    <w:uiPriority w:val="0"/>
    <w:pPr>
      <w:keepLines w:val="0"/>
      <w:widowControl/>
      <w:numPr>
        <w:ilvl w:val="2"/>
        <w:numId w:val="6"/>
      </w:numPr>
      <w:tabs>
        <w:tab w:val="left" w:pos="360"/>
        <w:tab w:val="left" w:pos="1080"/>
        <w:tab w:val="clear" w:pos="1440"/>
      </w:tabs>
      <w:spacing w:before="240" w:after="60" w:line="240" w:lineRule="auto"/>
      <w:ind w:left="0" w:firstLine="0"/>
      <w:jc w:val="left"/>
    </w:pPr>
    <w:rPr>
      <w:rFonts w:ascii="Futura Bk" w:hAnsi="Futura Bk"/>
      <w:bCs w:val="0"/>
      <w:sz w:val="22"/>
      <w:szCs w:val="20"/>
      <w:lang w:val="en-GB"/>
    </w:rPr>
  </w:style>
  <w:style w:type="paragraph" w:customStyle="1" w:styleId="273">
    <w:name w:val="Numbered list 2.4"/>
    <w:basedOn w:val="5"/>
    <w:next w:val="1"/>
    <w:qFormat/>
    <w:uiPriority w:val="0"/>
    <w:pPr>
      <w:keepLines w:val="0"/>
      <w:widowControl/>
      <w:numPr>
        <w:ilvl w:val="3"/>
        <w:numId w:val="6"/>
      </w:numPr>
      <w:tabs>
        <w:tab w:val="left" w:pos="360"/>
        <w:tab w:val="left" w:pos="1080"/>
        <w:tab w:val="left" w:pos="1440"/>
        <w:tab w:val="left" w:pos="1800"/>
        <w:tab w:val="clear" w:pos="2160"/>
      </w:tabs>
      <w:spacing w:before="240" w:after="60" w:line="240" w:lineRule="auto"/>
      <w:ind w:left="0" w:firstLine="0"/>
      <w:jc w:val="left"/>
    </w:pPr>
    <w:rPr>
      <w:rFonts w:ascii="Futura Bk" w:hAnsi="Futura Bk"/>
      <w:bCs w:val="0"/>
      <w:sz w:val="20"/>
      <w:szCs w:val="20"/>
      <w:lang w:val="en-GB"/>
    </w:rPr>
  </w:style>
  <w:style w:type="table" w:customStyle="1" w:styleId="274">
    <w:name w:val="网格型2"/>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5">
    <w:name w:val="网格型3"/>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6">
    <w:name w:val="网格型4"/>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7">
    <w:name w:val="网格型5"/>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8">
    <w:name w:val="网格型6"/>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79">
    <w:name w:val="网格型7"/>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仿宋_GB2312"/>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table" w:customStyle="1" w:styleId="280">
    <w:name w:val="网格型8"/>
    <w:basedOn w:val="55"/>
    <w:qFormat/>
    <w:uiPriority w:val="59"/>
    <w:pPr>
      <w:snapToGrid w:val="0"/>
      <w:jc w:val="center"/>
    </w:pPr>
    <w:rPr>
      <w:rFonts w:eastAsia="新宋体"/>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85" w:type="dxa"/>
        <w:left w:w="85" w:type="dxa"/>
        <w:bottom w:w="85" w:type="dxa"/>
        <w:right w:w="85" w:type="dxa"/>
      </w:tblCellMar>
    </w:tblPr>
    <w:trPr>
      <w:cantSplit/>
    </w:trPr>
    <w:tcPr>
      <w:vAlign w:val="center"/>
    </w:tcPr>
    <w:tblStylePr w:type="firstRow">
      <w:rPr>
        <w:rFonts w:ascii="Times New Roman" w:hAnsi="Times New Roman" w:eastAsia="仿宋_GB2312"/>
        <w:b/>
        <w:i w:val="0"/>
        <w:caps w:val="0"/>
        <w:smallCaps w:val="0"/>
        <w:strike w:val="0"/>
        <w:dstrike w:val="0"/>
        <w:vanish w:val="0"/>
        <w:color w:val="auto"/>
        <w:sz w:val="21"/>
        <w:u w:val="none"/>
        <w:vertAlign w:val="baseline"/>
      </w:rPr>
      <w:tblPr>
        <w:tblLayout w:type="fixed"/>
      </w:tblPr>
      <w:trPr>
        <w:tblHeader/>
      </w:trPr>
      <w:tcPr>
        <w:tcBorders>
          <w:top w:val="single" w:color="auto" w:sz="8" w:space="0"/>
          <w:left w:val="single" w:color="auto" w:sz="8" w:space="0"/>
          <w:bottom w:val="single" w:color="auto" w:sz="8" w:space="0"/>
          <w:right w:val="single" w:color="auto" w:sz="8" w:space="0"/>
          <w:insideH w:val="nil"/>
          <w:insideV w:val="single" w:sz="8" w:space="0"/>
          <w:tl2br w:val="nil"/>
          <w:tr2bl w:val="nil"/>
        </w:tcBorders>
        <w:shd w:val="clear" w:color="auto" w:fill="F2F2F2"/>
      </w:tcPr>
    </w:tblStylePr>
  </w:style>
  <w:style w:type="paragraph" w:customStyle="1" w:styleId="281">
    <w:name w:val="列出段落2"/>
    <w:basedOn w:val="1"/>
    <w:unhideWhenUsed/>
    <w:qFormat/>
    <w:uiPriority w:val="99"/>
    <w:pPr>
      <w:ind w:firstLine="420" w:firstLineChars="200"/>
    </w:pPr>
  </w:style>
  <w:style w:type="paragraph" w:customStyle="1" w:styleId="28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3">
    <w:name w:val="列出段落3"/>
    <w:basedOn w:val="1"/>
    <w:qFormat/>
    <w:uiPriority w:val="0"/>
    <w:pPr>
      <w:widowControl/>
      <w:ind w:firstLine="420" w:firstLineChars="200"/>
      <w:jc w:val="left"/>
    </w:pPr>
    <w:rPr>
      <w:rFonts w:ascii="宋体" w:hAnsi="宋体" w:eastAsia="宋体"/>
      <w:kern w:val="0"/>
      <w:sz w:val="24"/>
      <w:szCs w:val="24"/>
    </w:rPr>
  </w:style>
  <w:style w:type="paragraph" w:customStyle="1" w:styleId="284">
    <w:name w:val="TOC 标题2"/>
    <w:basedOn w:val="2"/>
    <w:next w:val="1"/>
    <w:unhideWhenUsed/>
    <w:qFormat/>
    <w:uiPriority w:val="39"/>
    <w:pPr>
      <w:spacing w:before="340" w:after="330" w:line="578" w:lineRule="auto"/>
      <w:ind w:firstLine="0" w:firstLineChars="0"/>
      <w:outlineLvl w:val="9"/>
    </w:pPr>
    <w:rPr>
      <w:rFonts w:asciiTheme="minorHAnsi" w:hAnsiTheme="minorHAnsi" w:eastAsiaTheme="minorEastAsia" w:cstheme="minorBidi"/>
    </w:rPr>
  </w:style>
  <w:style w:type="paragraph" w:customStyle="1" w:styleId="285">
    <w:name w:val="列出段落4"/>
    <w:basedOn w:val="1"/>
    <w:qFormat/>
    <w:uiPriority w:val="34"/>
    <w:pPr>
      <w:ind w:firstLine="420" w:firstLineChars="200"/>
    </w:pPr>
    <w:rPr>
      <w:rFonts w:ascii="Calibri" w:hAnsi="Calibri" w:eastAsia="宋体" w:cs="Times New Roman"/>
    </w:rPr>
  </w:style>
  <w:style w:type="paragraph" w:customStyle="1" w:styleId="286">
    <w:name w:val="正文(缩进) 五号"/>
    <w:basedOn w:val="1"/>
    <w:uiPriority w:val="0"/>
    <w:pPr>
      <w:widowControl/>
      <w:spacing w:after="120" w:line="360" w:lineRule="auto"/>
      <w:ind w:firstLine="420" w:firstLineChars="200"/>
      <w:jc w:val="left"/>
    </w:pPr>
    <w:rPr>
      <w:rFonts w:ascii="Arial" w:hAnsi="Arial" w:eastAsia="宋体" w:cs="宋体"/>
      <w:kern w:val="0"/>
      <w:szCs w:val="20"/>
    </w:rPr>
  </w:style>
  <w:style w:type="paragraph" w:customStyle="1" w:styleId="287">
    <w:name w:val="_Style 2"/>
    <w:basedOn w:val="1"/>
    <w:qFormat/>
    <w:uiPriority w:val="34"/>
    <w:pPr>
      <w:ind w:firstLine="420" w:firstLineChars="200"/>
    </w:pPr>
  </w:style>
  <w:style w:type="paragraph" w:customStyle="1" w:styleId="288">
    <w:name w:val="_Style 1"/>
    <w:basedOn w:val="1"/>
    <w:qFormat/>
    <w:uiPriority w:val="34"/>
    <w:pPr>
      <w:ind w:firstLine="420" w:firstLineChars="200"/>
    </w:pPr>
  </w:style>
  <w:style w:type="paragraph" w:customStyle="1" w:styleId="289">
    <w:name w:val="列出段落5"/>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jpe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81FDA-564C-4A17-A920-E640DE7D48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109</Pages>
  <Words>11090</Words>
  <Characters>63214</Characters>
  <Lines>526</Lines>
  <Paragraphs>148</Paragraphs>
  <TotalTime>13</TotalTime>
  <ScaleCrop>false</ScaleCrop>
  <LinksUpToDate>false</LinksUpToDate>
  <CharactersWithSpaces>74156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2019-05-29T09:34:00Z</dcterms:created>
  <dc:creator>NTKO</dc:creator>
  <cp:lastModifiedBy>NTKO</cp:lastModifiedBy>
  <cp:lastPrinted>2018-03-15T08:40:00Z</cp:lastPrinted>
  <dcterms:modified xsi:type="dcterms:W3CDTF">2019-05-30T08:18:58Z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