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3" w:leftChars="-135" w:firstLine="800" w:firstLineChars="250"/>
        <w:rPr>
          <w:rFonts w:cs="Times New Roman" w:asciiTheme="minorEastAsia" w:hAnsiTheme="minorEastAsia"/>
          <w:b/>
          <w:color w:val="000000" w:themeColor="text1"/>
          <w:sz w:val="32"/>
          <w:szCs w:val="32"/>
          <w:highlight w:val="none"/>
          <w:u w:val="single"/>
          <w14:textFill>
            <w14:solidFill>
              <w14:schemeClr w14:val="tx1"/>
            </w14:solidFill>
          </w14:textFill>
        </w:rPr>
      </w:pPr>
      <w:r>
        <w:rPr>
          <w:rFonts w:hint="eastAsia" w:cs="Times New Roman" w:asciiTheme="minorEastAsia" w:hAnsiTheme="minorEastAsia"/>
          <w:b/>
          <w:color w:val="000000" w:themeColor="text1"/>
          <w:sz w:val="32"/>
          <w:szCs w:val="32"/>
          <w:highlight w:val="none"/>
          <w14:textFill>
            <w14:solidFill>
              <w14:schemeClr w14:val="tx1"/>
            </w14:solidFill>
          </w14:textFill>
        </w:rPr>
        <w:t>项目名称：</w:t>
      </w:r>
      <w:r>
        <w:rPr>
          <w:rFonts w:hint="eastAsia" w:cs="Times New Roman" w:asciiTheme="minorEastAsia" w:hAnsiTheme="minorEastAsia"/>
          <w:b/>
          <w:color w:val="000000" w:themeColor="text1"/>
          <w:sz w:val="32"/>
          <w:szCs w:val="32"/>
          <w:highlight w:val="none"/>
          <w:u w:val="single"/>
          <w14:textFill>
            <w14:solidFill>
              <w14:schemeClr w14:val="tx1"/>
            </w14:solidFill>
          </w14:textFill>
        </w:rPr>
        <w:t>重庆银行“监管统计报表系统”项目</w:t>
      </w:r>
    </w:p>
    <w:p>
      <w:pPr>
        <w:ind w:left="-283" w:leftChars="-135" w:firstLine="800" w:firstLineChars="250"/>
        <w:rPr>
          <w:rFonts w:cs="Times New Roman" w:asciiTheme="minorEastAsia" w:hAnsiTheme="minorEastAsia"/>
          <w:b/>
          <w:color w:val="000000" w:themeColor="text1"/>
          <w:sz w:val="28"/>
          <w:szCs w:val="28"/>
          <w:highlight w:val="none"/>
          <w14:textFill>
            <w14:solidFill>
              <w14:schemeClr w14:val="tx1"/>
            </w14:solidFill>
          </w14:textFill>
        </w:rPr>
      </w:pPr>
      <w:r>
        <w:rPr>
          <w:rFonts w:hint="eastAsia" w:cs="Times New Roman" w:asciiTheme="minorEastAsia" w:hAnsiTheme="minorEastAsia"/>
          <w:b/>
          <w:color w:val="000000" w:themeColor="text1"/>
          <w:sz w:val="32"/>
          <w:szCs w:val="32"/>
          <w:highlight w:val="none"/>
          <w:u w:val="single"/>
          <w14:textFill>
            <w14:solidFill>
              <w14:schemeClr w14:val="tx1"/>
            </w14:solidFill>
          </w14:textFill>
        </w:rPr>
        <w:t xml:space="preserve">项目编号：SFG1900040275A </w:t>
      </w:r>
    </w:p>
    <w:p>
      <w:pPr>
        <w:jc w:val="center"/>
        <w:rPr>
          <w:rFonts w:ascii="Times New Roman" w:hAnsi="Times New Roman" w:eastAsia="宋体" w:cs="Times New Roman"/>
          <w:b/>
          <w:color w:val="000000" w:themeColor="text1"/>
          <w:sz w:val="84"/>
          <w:szCs w:val="84"/>
          <w:highlight w:val="none"/>
          <w14:textFill>
            <w14:solidFill>
              <w14:schemeClr w14:val="tx1"/>
            </w14:solidFill>
          </w14:textFill>
        </w:rPr>
      </w:pPr>
    </w:p>
    <w:p>
      <w:pPr>
        <w:jc w:val="center"/>
        <w:rPr>
          <w:rFonts w:ascii="Times New Roman" w:hAnsi="Times New Roman" w:eastAsia="宋体" w:cs="Times New Roman"/>
          <w:b/>
          <w:color w:val="000000" w:themeColor="text1"/>
          <w:sz w:val="84"/>
          <w:szCs w:val="84"/>
          <w:highlight w:val="none"/>
          <w14:textFill>
            <w14:solidFill>
              <w14:schemeClr w14:val="tx1"/>
            </w14:solidFill>
          </w14:textFill>
        </w:rPr>
      </w:pPr>
    </w:p>
    <w:p>
      <w:pPr>
        <w:jc w:val="center"/>
        <w:rPr>
          <w:rFonts w:cs="Times New Roman" w:asciiTheme="majorEastAsia" w:hAnsiTheme="majorEastAsia" w:eastAsiaTheme="majorEastAsia"/>
          <w:b/>
          <w:color w:val="000000" w:themeColor="text1"/>
          <w:sz w:val="84"/>
          <w:szCs w:val="84"/>
          <w:highlight w:val="none"/>
          <w14:textFill>
            <w14:solidFill>
              <w14:schemeClr w14:val="tx1"/>
            </w14:solidFill>
          </w14:textFill>
        </w:rPr>
      </w:pPr>
      <w:r>
        <w:rPr>
          <w:rFonts w:hint="eastAsia" w:cs="Times New Roman" w:asciiTheme="majorEastAsia" w:hAnsiTheme="majorEastAsia" w:eastAsiaTheme="majorEastAsia"/>
          <w:b/>
          <w:color w:val="000000" w:themeColor="text1"/>
          <w:sz w:val="84"/>
          <w:szCs w:val="84"/>
          <w:highlight w:val="none"/>
          <w14:textFill>
            <w14:solidFill>
              <w14:schemeClr w14:val="tx1"/>
            </w14:solidFill>
          </w14:textFill>
        </w:rPr>
        <w:t>招标文件</w:t>
      </w:r>
    </w:p>
    <w:p>
      <w:pPr>
        <w:rPr>
          <w:rFonts w:ascii="Times New Roman" w:hAnsi="Times New Roman" w:eastAsia="黑体" w:cs="Times New Roman"/>
          <w:b/>
          <w:color w:val="000000" w:themeColor="text1"/>
          <w:sz w:val="32"/>
          <w:szCs w:val="32"/>
          <w:highlight w:val="none"/>
          <w14:textFill>
            <w14:solidFill>
              <w14:schemeClr w14:val="tx1"/>
            </w14:solidFill>
          </w14:textFill>
        </w:rPr>
      </w:pPr>
    </w:p>
    <w:p>
      <w:pPr>
        <w:rPr>
          <w:rFonts w:ascii="Times New Roman" w:hAnsi="Times New Roman" w:eastAsia="黑体" w:cs="Times New Roman"/>
          <w:b/>
          <w:color w:val="000000" w:themeColor="text1"/>
          <w:sz w:val="32"/>
          <w:szCs w:val="32"/>
          <w:highlight w:val="none"/>
          <w14:textFill>
            <w14:solidFill>
              <w14:schemeClr w14:val="tx1"/>
            </w14:solidFill>
          </w14:textFill>
        </w:rPr>
      </w:pPr>
    </w:p>
    <w:p>
      <w:pPr>
        <w:rPr>
          <w:rFonts w:ascii="Times New Roman" w:hAnsi="Times New Roman" w:eastAsia="黑体" w:cs="Times New Roman"/>
          <w:b/>
          <w:color w:val="000000" w:themeColor="text1"/>
          <w:sz w:val="32"/>
          <w:szCs w:val="32"/>
          <w:highlight w:val="none"/>
          <w14:textFill>
            <w14:solidFill>
              <w14:schemeClr w14:val="tx1"/>
            </w14:solidFill>
          </w14:textFill>
        </w:rPr>
      </w:pPr>
    </w:p>
    <w:p>
      <w:pPr>
        <w:rPr>
          <w:rFonts w:ascii="Times New Roman" w:hAnsi="Times New Roman" w:eastAsia="黑体" w:cs="Times New Roman"/>
          <w:b/>
          <w:color w:val="000000" w:themeColor="text1"/>
          <w:sz w:val="32"/>
          <w:szCs w:val="32"/>
          <w:highlight w:val="none"/>
          <w14:textFill>
            <w14:solidFill>
              <w14:schemeClr w14:val="tx1"/>
            </w14:solidFill>
          </w14:textFill>
        </w:rPr>
      </w:pPr>
    </w:p>
    <w:p>
      <w:pPr>
        <w:rPr>
          <w:rFonts w:ascii="Times New Roman" w:hAnsi="Times New Roman" w:eastAsia="黑体" w:cs="Times New Roman"/>
          <w:b/>
          <w:color w:val="000000" w:themeColor="text1"/>
          <w:sz w:val="32"/>
          <w:szCs w:val="32"/>
          <w:highlight w:val="none"/>
          <w14:textFill>
            <w14:solidFill>
              <w14:schemeClr w14:val="tx1"/>
            </w14:solidFill>
          </w14:textFill>
        </w:rPr>
      </w:pPr>
    </w:p>
    <w:p>
      <w:pPr>
        <w:rPr>
          <w:rFonts w:ascii="Times New Roman" w:hAnsi="Times New Roman" w:eastAsia="黑体" w:cs="Times New Roman"/>
          <w:b/>
          <w:color w:val="000000" w:themeColor="text1"/>
          <w:sz w:val="32"/>
          <w:szCs w:val="32"/>
          <w:highlight w:val="none"/>
          <w14:textFill>
            <w14:solidFill>
              <w14:schemeClr w14:val="tx1"/>
            </w14:solidFill>
          </w14:textFill>
        </w:rPr>
      </w:pPr>
    </w:p>
    <w:p>
      <w:pPr>
        <w:rPr>
          <w:rFonts w:ascii="Times New Roman" w:hAnsi="Times New Roman" w:eastAsia="黑体" w:cs="Times New Roman"/>
          <w:b/>
          <w:color w:val="000000" w:themeColor="text1"/>
          <w:sz w:val="32"/>
          <w:szCs w:val="32"/>
          <w:highlight w:val="none"/>
          <w14:textFill>
            <w14:solidFill>
              <w14:schemeClr w14:val="tx1"/>
            </w14:solidFill>
          </w14:textFill>
        </w:rPr>
      </w:pPr>
    </w:p>
    <w:p>
      <w:pPr>
        <w:rPr>
          <w:rFonts w:ascii="Times New Roman" w:hAnsi="Times New Roman" w:eastAsia="黑体" w:cs="Times New Roman"/>
          <w:b/>
          <w:color w:val="000000" w:themeColor="text1"/>
          <w:sz w:val="32"/>
          <w:szCs w:val="32"/>
          <w:highlight w:val="none"/>
          <w14:textFill>
            <w14:solidFill>
              <w14:schemeClr w14:val="tx1"/>
            </w14:solidFill>
          </w14:textFill>
        </w:rPr>
      </w:pPr>
    </w:p>
    <w:p>
      <w:pPr>
        <w:rPr>
          <w:rFonts w:cs="Times New Roman" w:asciiTheme="minorEastAsia" w:hAnsiTheme="minorEastAsia"/>
          <w:b/>
          <w:color w:val="000000" w:themeColor="text1"/>
          <w:sz w:val="30"/>
          <w:szCs w:val="30"/>
          <w:highlight w:val="none"/>
          <w:u w:val="single"/>
          <w14:textFill>
            <w14:solidFill>
              <w14:schemeClr w14:val="tx1"/>
            </w14:solidFill>
          </w14:textFill>
        </w:rPr>
      </w:pPr>
      <w:r>
        <w:rPr>
          <w:rFonts w:hint="eastAsia" w:cs="Times New Roman" w:asciiTheme="minorEastAsia" w:hAnsiTheme="minorEastAsia"/>
          <w:b/>
          <w:color w:val="000000" w:themeColor="text1"/>
          <w:sz w:val="30"/>
          <w:szCs w:val="30"/>
          <w:highlight w:val="none"/>
          <w14:textFill>
            <w14:solidFill>
              <w14:schemeClr w14:val="tx1"/>
            </w14:solidFill>
          </w14:textFill>
        </w:rPr>
        <w:t>招　标　人：</w:t>
      </w:r>
      <w:r>
        <w:rPr>
          <w:rFonts w:hint="eastAsia" w:cs="Times New Roman" w:asciiTheme="minorEastAsia" w:hAnsiTheme="minorEastAsia"/>
          <w:b/>
          <w:color w:val="000000" w:themeColor="text1"/>
          <w:sz w:val="30"/>
          <w:szCs w:val="30"/>
          <w:highlight w:val="none"/>
          <w:u w:val="single"/>
          <w14:textFill>
            <w14:solidFill>
              <w14:schemeClr w14:val="tx1"/>
            </w14:solidFill>
          </w14:textFill>
        </w:rPr>
        <w:t>重庆银行股份有限公司</w:t>
      </w:r>
    </w:p>
    <w:p>
      <w:pPr>
        <w:rPr>
          <w:rFonts w:cs="Times New Roman" w:asciiTheme="minorEastAsia" w:hAnsiTheme="minorEastAsia"/>
          <w:b/>
          <w:color w:val="000000" w:themeColor="text1"/>
          <w:sz w:val="30"/>
          <w:szCs w:val="30"/>
          <w:highlight w:val="none"/>
          <w:u w:val="single"/>
          <w14:textFill>
            <w14:solidFill>
              <w14:schemeClr w14:val="tx1"/>
            </w14:solidFill>
          </w14:textFill>
        </w:rPr>
      </w:pPr>
      <w:r>
        <w:rPr>
          <w:rFonts w:hint="eastAsia" w:cs="Times New Roman" w:asciiTheme="minorEastAsia" w:hAnsiTheme="minorEastAsia"/>
          <w:b/>
          <w:color w:val="000000" w:themeColor="text1"/>
          <w:sz w:val="30"/>
          <w:szCs w:val="30"/>
          <w:highlight w:val="none"/>
          <w14:textFill>
            <w14:solidFill>
              <w14:schemeClr w14:val="tx1"/>
            </w14:solidFill>
          </w14:textFill>
        </w:rPr>
        <w:t>招标代理机构：</w:t>
      </w:r>
      <w:r>
        <w:rPr>
          <w:rFonts w:hint="eastAsia" w:cs="Times New Roman" w:asciiTheme="minorEastAsia" w:hAnsiTheme="minorEastAsia"/>
          <w:b/>
          <w:color w:val="000000" w:themeColor="text1"/>
          <w:sz w:val="30"/>
          <w:szCs w:val="30"/>
          <w:highlight w:val="none"/>
          <w:u w:val="single"/>
          <w14:textFill>
            <w14:solidFill>
              <w14:schemeClr w14:val="tx1"/>
            </w14:solidFill>
          </w14:textFill>
        </w:rPr>
        <w:t>重庆招标采购（集团）有限责任公司</w:t>
      </w:r>
    </w:p>
    <w:p>
      <w:pPr>
        <w:jc w:val="center"/>
        <w:rPr>
          <w:rFonts w:ascii="Times New Roman" w:hAnsi="Times New Roman" w:eastAsia="黑体" w:cs="Times New Roman"/>
          <w:b/>
          <w:color w:val="000000" w:themeColor="text1"/>
          <w:sz w:val="32"/>
          <w:szCs w:val="32"/>
          <w:highlight w:val="none"/>
          <w14:textFill>
            <w14:solidFill>
              <w14:schemeClr w14:val="tx1"/>
            </w14:solidFill>
          </w14:textFill>
        </w:rPr>
      </w:pPr>
    </w:p>
    <w:p>
      <w:pPr>
        <w:jc w:val="center"/>
        <w:rPr>
          <w:rFonts w:ascii="Times New Roman" w:hAnsi="Times New Roman" w:eastAsia="黑体" w:cs="Times New Roman"/>
          <w:b/>
          <w:color w:val="000000" w:themeColor="text1"/>
          <w:sz w:val="32"/>
          <w:szCs w:val="32"/>
          <w:highlight w:val="none"/>
          <w14:textFill>
            <w14:solidFill>
              <w14:schemeClr w14:val="tx1"/>
            </w14:solidFill>
          </w14:textFill>
        </w:rPr>
      </w:pPr>
    </w:p>
    <w:p>
      <w:pPr>
        <w:jc w:val="center"/>
        <w:rPr>
          <w:rFonts w:cs="Times New Roman" w:asciiTheme="minorEastAsia" w:hAnsiTheme="minorEastAsia"/>
          <w:b/>
          <w:color w:val="000000" w:themeColor="text1"/>
          <w:sz w:val="24"/>
          <w:szCs w:val="24"/>
          <w:highlight w:val="none"/>
          <w14:textFill>
            <w14:solidFill>
              <w14:schemeClr w14:val="tx1"/>
            </w14:solidFill>
          </w14:textFill>
        </w:rPr>
        <w:sectPr>
          <w:headerReference r:id="rId3" w:type="default"/>
          <w:footerReference r:id="rId4" w:type="default"/>
          <w:pgSz w:w="11906" w:h="16838"/>
          <w:pgMar w:top="1440" w:right="1466" w:bottom="1276" w:left="1800" w:header="851" w:footer="992" w:gutter="0"/>
          <w:cols w:space="720" w:num="1"/>
          <w:docGrid w:type="linesAndChars" w:linePitch="312" w:charSpace="0"/>
        </w:sectPr>
      </w:pPr>
      <w:r>
        <w:rPr>
          <w:rFonts w:cs="Times New Roman" w:asciiTheme="minorEastAsia" w:hAnsiTheme="minorEastAsia"/>
          <w:b/>
          <w:color w:val="000000" w:themeColor="text1"/>
          <w:sz w:val="24"/>
          <w:szCs w:val="24"/>
          <w:highlight w:val="none"/>
          <w:u w:val="single"/>
          <w14:textFill>
            <w14:solidFill>
              <w14:schemeClr w14:val="tx1"/>
            </w14:solidFill>
          </w14:textFill>
        </w:rPr>
        <w:t>201</w:t>
      </w:r>
      <w:r>
        <w:rPr>
          <w:rFonts w:hint="eastAsia" w:cs="Times New Roman" w:asciiTheme="minorEastAsia" w:hAnsiTheme="minorEastAsia"/>
          <w:b/>
          <w:color w:val="000000" w:themeColor="text1"/>
          <w:sz w:val="24"/>
          <w:szCs w:val="24"/>
          <w:highlight w:val="none"/>
          <w:u w:val="single"/>
          <w14:textFill>
            <w14:solidFill>
              <w14:schemeClr w14:val="tx1"/>
            </w14:solidFill>
          </w14:textFill>
        </w:rPr>
        <w:t>9</w:t>
      </w:r>
      <w:r>
        <w:rPr>
          <w:rFonts w:hint="eastAsia" w:cs="Times New Roman" w:asciiTheme="minorEastAsia" w:hAnsiTheme="minorEastAsia"/>
          <w:b/>
          <w:color w:val="000000" w:themeColor="text1"/>
          <w:sz w:val="24"/>
          <w:szCs w:val="24"/>
          <w:highlight w:val="none"/>
          <w14:textFill>
            <w14:solidFill>
              <w14:schemeClr w14:val="tx1"/>
            </w14:solidFill>
          </w14:textFill>
        </w:rPr>
        <w:t>年</w:t>
      </w:r>
      <w:r>
        <w:rPr>
          <w:rFonts w:hint="eastAsia" w:cs="Times New Roman" w:asciiTheme="minorEastAsia" w:hAnsiTheme="minorEastAsia"/>
          <w:b/>
          <w:color w:val="000000" w:themeColor="text1"/>
          <w:sz w:val="24"/>
          <w:szCs w:val="24"/>
          <w:highlight w:val="none"/>
          <w:u w:val="single"/>
          <w14:textFill>
            <w14:solidFill>
              <w14:schemeClr w14:val="tx1"/>
            </w14:solidFill>
          </w14:textFill>
        </w:rPr>
        <w:t>5</w:t>
      </w:r>
      <w:r>
        <w:rPr>
          <w:rFonts w:hint="eastAsia" w:cs="Times New Roman" w:asciiTheme="minorEastAsia" w:hAnsiTheme="minorEastAsia"/>
          <w:b/>
          <w:color w:val="000000" w:themeColor="text1"/>
          <w:sz w:val="24"/>
          <w:szCs w:val="24"/>
          <w:highlight w:val="none"/>
          <w14:textFill>
            <w14:solidFill>
              <w14:schemeClr w14:val="tx1"/>
            </w14:solidFill>
          </w14:textFill>
        </w:rPr>
        <w:t>月</w:t>
      </w:r>
    </w:p>
    <w:p>
      <w:pPr>
        <w:jc w:val="center"/>
        <w:rPr>
          <w:rFonts w:ascii="Times New Roman" w:hAnsi="Times New Roman" w:eastAsia="宋体" w:cs="Times New Roman"/>
          <w:color w:val="000000" w:themeColor="text1"/>
          <w:sz w:val="32"/>
          <w:szCs w:val="32"/>
          <w:highlight w:val="none"/>
          <w14:textFill>
            <w14:solidFill>
              <w14:schemeClr w14:val="tx1"/>
            </w14:solidFill>
          </w14:textFill>
        </w:rPr>
      </w:pPr>
    </w:p>
    <w:p>
      <w:pPr>
        <w:adjustRightInd w:val="0"/>
        <w:snapToGrid w:val="0"/>
        <w:spacing w:line="500" w:lineRule="atLeast"/>
        <w:jc w:val="center"/>
        <w:rPr>
          <w:rFonts w:ascii="Times New Roman" w:hAnsi="Times New Roman" w:eastAsia="黑体" w:cs="Times New Roman"/>
          <w:color w:val="000000" w:themeColor="text1"/>
          <w:sz w:val="36"/>
          <w:szCs w:val="36"/>
          <w:highlight w:val="none"/>
          <w14:textFill>
            <w14:solidFill>
              <w14:schemeClr w14:val="tx1"/>
            </w14:solidFill>
          </w14:textFill>
        </w:rPr>
      </w:pPr>
      <w:r>
        <w:rPr>
          <w:rFonts w:ascii="Times New Roman" w:hAnsi="Times New Roman" w:eastAsia="黑体" w:cs="Times New Roman"/>
          <w:b/>
          <w:color w:val="000000" w:themeColor="text1"/>
          <w:sz w:val="36"/>
          <w:szCs w:val="36"/>
          <w:highlight w:val="none"/>
          <w14:textFill>
            <w14:solidFill>
              <w14:schemeClr w14:val="tx1"/>
            </w14:solidFill>
          </w14:textFill>
        </w:rPr>
        <w:t>目录</w:t>
      </w:r>
    </w:p>
    <w:p>
      <w:pPr>
        <w:adjustRightInd w:val="0"/>
        <w:snapToGrid w:val="0"/>
        <w:spacing w:line="500" w:lineRule="atLeast"/>
        <w:jc w:val="center"/>
        <w:rPr>
          <w:rFonts w:ascii="Times New Roman" w:hAnsi="Times New Roman" w:eastAsia="黑体" w:cs="Times New Roman"/>
          <w:color w:val="000000" w:themeColor="text1"/>
          <w:sz w:val="36"/>
          <w:szCs w:val="36"/>
          <w:highlight w:val="none"/>
          <w14:textFill>
            <w14:solidFill>
              <w14:schemeClr w14:val="tx1"/>
            </w14:solidFill>
          </w14:textFill>
        </w:rPr>
      </w:pPr>
    </w:p>
    <w:p>
      <w:pPr>
        <w:tabs>
          <w:tab w:val="right" w:leader="dot" w:pos="8630"/>
        </w:tabs>
        <w:spacing w:before="120" w:after="120"/>
        <w:jc w:val="left"/>
        <w:rPr>
          <w:rFonts w:ascii="Calibri" w:hAnsi="Calibri" w:eastAsia="黑体" w:cs="Times New Roman"/>
          <w:color w:val="000000" w:themeColor="text1"/>
          <w:sz w:val="28"/>
          <w:highlight w:val="none"/>
          <w14:textFill>
            <w14:solidFill>
              <w14:schemeClr w14:val="tx1"/>
            </w14:solidFill>
          </w14:textFill>
        </w:rPr>
      </w:pPr>
      <w:r>
        <w:rPr>
          <w:rFonts w:ascii="Calibri" w:hAnsi="Calibri" w:eastAsia="宋体" w:cs="Times New Roman"/>
          <w:b/>
          <w:bCs/>
          <w:caps/>
          <w:color w:val="000000" w:themeColor="text1"/>
          <w:sz w:val="24"/>
          <w:szCs w:val="24"/>
          <w:highlight w:val="none"/>
          <w14:textFill>
            <w14:solidFill>
              <w14:schemeClr w14:val="tx1"/>
            </w14:solidFill>
          </w14:textFill>
        </w:rPr>
        <w:fldChar w:fldCharType="begin"/>
      </w:r>
      <w:r>
        <w:rPr>
          <w:rFonts w:ascii="Calibri" w:hAnsi="Calibri" w:eastAsia="宋体" w:cs="Times New Roman"/>
          <w:b/>
          <w:bCs/>
          <w:caps/>
          <w:color w:val="000000" w:themeColor="text1"/>
          <w:sz w:val="24"/>
          <w:szCs w:val="24"/>
          <w:highlight w:val="none"/>
          <w14:textFill>
            <w14:solidFill>
              <w14:schemeClr w14:val="tx1"/>
            </w14:solidFill>
          </w14:textFill>
        </w:rPr>
        <w:instrText xml:space="preserve"> TOC \o "1-1" \h \z </w:instrText>
      </w:r>
      <w:r>
        <w:rPr>
          <w:rFonts w:ascii="Calibri" w:hAnsi="Calibri" w:eastAsia="宋体" w:cs="Times New Roman"/>
          <w:b/>
          <w:bCs/>
          <w:caps/>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"_Toc489972849" </w:instrText>
      </w:r>
      <w:r>
        <w:rPr>
          <w:color w:val="000000" w:themeColor="text1"/>
          <w:highlight w:val="none"/>
          <w14:textFill>
            <w14:solidFill>
              <w14:schemeClr w14:val="tx1"/>
            </w14:solidFill>
          </w14:textFill>
        </w:rPr>
        <w:fldChar w:fldCharType="separate"/>
      </w:r>
      <w:r>
        <w:rPr>
          <w:rFonts w:hint="eastAsia" w:ascii="Times New Roman" w:hAnsi="Times New Roman" w:eastAsia="黑体" w:cs="Times New Roman"/>
          <w:b/>
          <w:bCs/>
          <w:caps/>
          <w:color w:val="000000" w:themeColor="text1"/>
          <w:sz w:val="24"/>
          <w:szCs w:val="20"/>
          <w:highlight w:val="none"/>
          <w:u w:val="single"/>
          <w14:textFill>
            <w14:solidFill>
              <w14:schemeClr w14:val="tx1"/>
            </w14:solidFill>
          </w14:textFill>
        </w:rPr>
        <w:t>第一章招标公告</w:t>
      </w:r>
      <w:r>
        <w:rPr>
          <w:rFonts w:ascii="Calibri" w:hAnsi="Calibri" w:eastAsia="黑体" w:cs="Times New Roman"/>
          <w:b/>
          <w:bCs/>
          <w:caps/>
          <w:color w:val="000000" w:themeColor="text1"/>
          <w:sz w:val="24"/>
          <w:szCs w:val="20"/>
          <w:highlight w:val="none"/>
          <w14:textFill>
            <w14:solidFill>
              <w14:schemeClr w14:val="tx1"/>
            </w14:solidFill>
          </w14:textFill>
        </w:rPr>
        <w:tab/>
      </w:r>
      <w:r>
        <w:rPr>
          <w:rFonts w:ascii="Calibri" w:hAnsi="Calibri" w:eastAsia="黑体" w:cs="Times New Roman"/>
          <w:b/>
          <w:bCs/>
          <w:caps/>
          <w:color w:val="000000" w:themeColor="text1"/>
          <w:sz w:val="24"/>
          <w:szCs w:val="20"/>
          <w:highlight w:val="none"/>
          <w14:textFill>
            <w14:solidFill>
              <w14:schemeClr w14:val="tx1"/>
            </w14:solidFill>
          </w14:textFill>
        </w:rPr>
        <w:fldChar w:fldCharType="begin"/>
      </w:r>
      <w:r>
        <w:rPr>
          <w:rFonts w:ascii="Calibri" w:hAnsi="Calibri" w:eastAsia="黑体" w:cs="Times New Roman"/>
          <w:b/>
          <w:bCs/>
          <w:caps/>
          <w:color w:val="000000" w:themeColor="text1"/>
          <w:sz w:val="24"/>
          <w:szCs w:val="20"/>
          <w:highlight w:val="none"/>
          <w14:textFill>
            <w14:solidFill>
              <w14:schemeClr w14:val="tx1"/>
            </w14:solidFill>
          </w14:textFill>
        </w:rPr>
        <w:instrText xml:space="preserve"> PAGEREF _Toc489972849 \h </w:instrText>
      </w:r>
      <w:r>
        <w:rPr>
          <w:rFonts w:ascii="Calibri" w:hAnsi="Calibri" w:eastAsia="黑体" w:cs="Times New Roman"/>
          <w:b/>
          <w:bCs/>
          <w:caps/>
          <w:color w:val="000000" w:themeColor="text1"/>
          <w:sz w:val="24"/>
          <w:szCs w:val="20"/>
          <w:highlight w:val="none"/>
          <w14:textFill>
            <w14:solidFill>
              <w14:schemeClr w14:val="tx1"/>
            </w14:solidFill>
          </w14:textFill>
        </w:rPr>
        <w:fldChar w:fldCharType="separate"/>
      </w:r>
      <w:r>
        <w:rPr>
          <w:rFonts w:ascii="Calibri" w:hAnsi="Calibri" w:eastAsia="黑体" w:cs="Times New Roman"/>
          <w:b/>
          <w:bCs/>
          <w:caps/>
          <w:color w:val="000000" w:themeColor="text1"/>
          <w:sz w:val="24"/>
          <w:szCs w:val="20"/>
          <w:highlight w:val="none"/>
          <w14:textFill>
            <w14:solidFill>
              <w14:schemeClr w14:val="tx1"/>
            </w14:solidFill>
          </w14:textFill>
        </w:rPr>
        <w:t>1</w:t>
      </w:r>
      <w:r>
        <w:rPr>
          <w:rFonts w:ascii="Calibri" w:hAnsi="Calibri" w:eastAsia="黑体" w:cs="Times New Roman"/>
          <w:b/>
          <w:bCs/>
          <w:caps/>
          <w:color w:val="000000" w:themeColor="text1"/>
          <w:sz w:val="24"/>
          <w:szCs w:val="20"/>
          <w:highlight w:val="none"/>
          <w14:textFill>
            <w14:solidFill>
              <w14:schemeClr w14:val="tx1"/>
            </w14:solidFill>
          </w14:textFill>
        </w:rPr>
        <w:fldChar w:fldCharType="end"/>
      </w:r>
      <w:r>
        <w:rPr>
          <w:rFonts w:ascii="Calibri" w:hAnsi="Calibri" w:eastAsia="黑体" w:cs="Times New Roman"/>
          <w:b/>
          <w:bCs/>
          <w:caps/>
          <w:color w:val="000000" w:themeColor="text1"/>
          <w:sz w:val="24"/>
          <w:szCs w:val="20"/>
          <w:highlight w:val="none"/>
          <w14:textFill>
            <w14:solidFill>
              <w14:schemeClr w14:val="tx1"/>
            </w14:solidFill>
          </w14:textFill>
        </w:rPr>
        <w:fldChar w:fldCharType="end"/>
      </w:r>
    </w:p>
    <w:p>
      <w:pPr>
        <w:tabs>
          <w:tab w:val="right" w:leader="dot" w:pos="8630"/>
        </w:tabs>
        <w:spacing w:before="120" w:after="120"/>
        <w:jc w:val="left"/>
        <w:rPr>
          <w:rFonts w:ascii="Calibri" w:hAnsi="Calibri" w:eastAsia="黑体" w:cs="Times New Roman"/>
          <w:color w:val="000000" w:themeColor="text1"/>
          <w:sz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"_Toc489972850" </w:instrText>
      </w:r>
      <w:r>
        <w:rPr>
          <w:color w:val="000000" w:themeColor="text1"/>
          <w:highlight w:val="none"/>
          <w14:textFill>
            <w14:solidFill>
              <w14:schemeClr w14:val="tx1"/>
            </w14:solidFill>
          </w14:textFill>
        </w:rPr>
        <w:fldChar w:fldCharType="separate"/>
      </w:r>
      <w:r>
        <w:rPr>
          <w:rFonts w:hint="eastAsia" w:ascii="Times New Roman" w:hAnsi="Times New Roman" w:eastAsia="黑体" w:cs="Times New Roman"/>
          <w:b/>
          <w:bCs/>
          <w:caps/>
          <w:color w:val="000000" w:themeColor="text1"/>
          <w:sz w:val="24"/>
          <w:szCs w:val="20"/>
          <w:highlight w:val="none"/>
          <w:u w:val="single"/>
          <w14:textFill>
            <w14:solidFill>
              <w14:schemeClr w14:val="tx1"/>
            </w14:solidFill>
          </w14:textFill>
        </w:rPr>
        <w:t>第二章投标人须知</w:t>
      </w:r>
      <w:r>
        <w:rPr>
          <w:rFonts w:ascii="Calibri" w:hAnsi="Calibri" w:eastAsia="黑体" w:cs="Times New Roman"/>
          <w:b/>
          <w:bCs/>
          <w:caps/>
          <w:color w:val="000000" w:themeColor="text1"/>
          <w:sz w:val="24"/>
          <w:szCs w:val="20"/>
          <w:highlight w:val="none"/>
          <w14:textFill>
            <w14:solidFill>
              <w14:schemeClr w14:val="tx1"/>
            </w14:solidFill>
          </w14:textFill>
        </w:rPr>
        <w:tab/>
      </w:r>
      <w:r>
        <w:rPr>
          <w:rFonts w:ascii="Calibri" w:hAnsi="Calibri" w:eastAsia="黑体" w:cs="Times New Roman"/>
          <w:b/>
          <w:bCs/>
          <w:caps/>
          <w:color w:val="000000" w:themeColor="text1"/>
          <w:sz w:val="24"/>
          <w:szCs w:val="20"/>
          <w:highlight w:val="none"/>
          <w14:textFill>
            <w14:solidFill>
              <w14:schemeClr w14:val="tx1"/>
            </w14:solidFill>
          </w14:textFill>
        </w:rPr>
        <w:fldChar w:fldCharType="end"/>
      </w:r>
      <w:r>
        <w:rPr>
          <w:rFonts w:hint="eastAsia" w:ascii="Calibri" w:hAnsi="Calibri" w:eastAsia="黑体" w:cs="Times New Roman"/>
          <w:b/>
          <w:bCs/>
          <w:caps/>
          <w:color w:val="000000" w:themeColor="text1"/>
          <w:sz w:val="24"/>
          <w:szCs w:val="20"/>
          <w:highlight w:val="none"/>
          <w:lang w:val="en-US" w:eastAsia="zh-CN"/>
          <w14:textFill>
            <w14:solidFill>
              <w14:schemeClr w14:val="tx1"/>
            </w14:solidFill>
          </w14:textFill>
        </w:rPr>
        <w:t>4</w:t>
      </w:r>
    </w:p>
    <w:p>
      <w:pPr>
        <w:tabs>
          <w:tab w:val="right" w:leader="dot" w:pos="8630"/>
        </w:tabs>
        <w:spacing w:before="120" w:after="120"/>
        <w:jc w:val="left"/>
        <w:rPr>
          <w:rFonts w:ascii="Calibri" w:hAnsi="Calibri" w:eastAsia="黑体" w:cs="Times New Roman"/>
          <w:color w:val="000000" w:themeColor="text1"/>
          <w:sz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"_Toc489972851" </w:instrText>
      </w:r>
      <w:r>
        <w:rPr>
          <w:color w:val="000000" w:themeColor="text1"/>
          <w:highlight w:val="none"/>
          <w14:textFill>
            <w14:solidFill>
              <w14:schemeClr w14:val="tx1"/>
            </w14:solidFill>
          </w14:textFill>
        </w:rPr>
        <w:fldChar w:fldCharType="separate"/>
      </w:r>
      <w:r>
        <w:rPr>
          <w:rFonts w:hint="eastAsia" w:ascii="Times New Roman" w:hAnsi="Times New Roman" w:eastAsia="黑体" w:cs="Times New Roman"/>
          <w:b/>
          <w:bCs/>
          <w:caps/>
          <w:color w:val="000000" w:themeColor="text1"/>
          <w:sz w:val="24"/>
          <w:szCs w:val="20"/>
          <w:highlight w:val="none"/>
          <w:u w:val="single"/>
          <w14:textFill>
            <w14:solidFill>
              <w14:schemeClr w14:val="tx1"/>
            </w14:solidFill>
          </w14:textFill>
        </w:rPr>
        <w:t>第三章评标方法</w:t>
      </w:r>
      <w:r>
        <w:rPr>
          <w:rFonts w:ascii="Calibri" w:hAnsi="Calibri" w:eastAsia="黑体" w:cs="Times New Roman"/>
          <w:b/>
          <w:bCs/>
          <w:caps/>
          <w:color w:val="000000" w:themeColor="text1"/>
          <w:sz w:val="24"/>
          <w:szCs w:val="20"/>
          <w:highlight w:val="none"/>
          <w14:textFill>
            <w14:solidFill>
              <w14:schemeClr w14:val="tx1"/>
            </w14:solidFill>
          </w14:textFill>
        </w:rPr>
        <w:tab/>
      </w:r>
      <w:r>
        <w:rPr>
          <w:rFonts w:ascii="Calibri" w:hAnsi="Calibri" w:eastAsia="黑体" w:cs="Times New Roman"/>
          <w:b/>
          <w:bCs/>
          <w:caps/>
          <w:color w:val="000000" w:themeColor="text1"/>
          <w:sz w:val="24"/>
          <w:szCs w:val="20"/>
          <w:highlight w:val="none"/>
          <w14:textFill>
            <w14:solidFill>
              <w14:schemeClr w14:val="tx1"/>
            </w14:solidFill>
          </w14:textFill>
        </w:rPr>
        <w:fldChar w:fldCharType="begin"/>
      </w:r>
      <w:r>
        <w:rPr>
          <w:rFonts w:ascii="Calibri" w:hAnsi="Calibri" w:eastAsia="黑体" w:cs="Times New Roman"/>
          <w:b/>
          <w:bCs/>
          <w:caps/>
          <w:color w:val="000000" w:themeColor="text1"/>
          <w:sz w:val="24"/>
          <w:szCs w:val="20"/>
          <w:highlight w:val="none"/>
          <w14:textFill>
            <w14:solidFill>
              <w14:schemeClr w14:val="tx1"/>
            </w14:solidFill>
          </w14:textFill>
        </w:rPr>
        <w:instrText xml:space="preserve"> PAGEREF _Toc489972851 \h </w:instrText>
      </w:r>
      <w:r>
        <w:rPr>
          <w:rFonts w:ascii="Calibri" w:hAnsi="Calibri" w:eastAsia="黑体" w:cs="Times New Roman"/>
          <w:b/>
          <w:bCs/>
          <w:caps/>
          <w:color w:val="000000" w:themeColor="text1"/>
          <w:sz w:val="24"/>
          <w:szCs w:val="20"/>
          <w:highlight w:val="none"/>
          <w14:textFill>
            <w14:solidFill>
              <w14:schemeClr w14:val="tx1"/>
            </w14:solidFill>
          </w14:textFill>
        </w:rPr>
        <w:fldChar w:fldCharType="separate"/>
      </w:r>
      <w:r>
        <w:rPr>
          <w:rFonts w:ascii="Calibri" w:hAnsi="Calibri" w:eastAsia="黑体" w:cs="Times New Roman"/>
          <w:b/>
          <w:bCs/>
          <w:caps/>
          <w:color w:val="000000" w:themeColor="text1"/>
          <w:sz w:val="24"/>
          <w:szCs w:val="20"/>
          <w:highlight w:val="none"/>
          <w14:textFill>
            <w14:solidFill>
              <w14:schemeClr w14:val="tx1"/>
            </w14:solidFill>
          </w14:textFill>
        </w:rPr>
        <w:t>2</w:t>
      </w:r>
      <w:r>
        <w:rPr>
          <w:rFonts w:ascii="Calibri" w:hAnsi="Calibri" w:eastAsia="黑体" w:cs="Times New Roman"/>
          <w:b/>
          <w:bCs/>
          <w:caps/>
          <w:color w:val="000000" w:themeColor="text1"/>
          <w:sz w:val="24"/>
          <w:szCs w:val="20"/>
          <w:highlight w:val="none"/>
          <w14:textFill>
            <w14:solidFill>
              <w14:schemeClr w14:val="tx1"/>
            </w14:solidFill>
          </w14:textFill>
        </w:rPr>
        <w:fldChar w:fldCharType="end"/>
      </w:r>
      <w:r>
        <w:rPr>
          <w:rFonts w:ascii="Calibri" w:hAnsi="Calibri" w:eastAsia="黑体" w:cs="Times New Roman"/>
          <w:b/>
          <w:bCs/>
          <w:caps/>
          <w:color w:val="000000" w:themeColor="text1"/>
          <w:sz w:val="24"/>
          <w:szCs w:val="20"/>
          <w:highlight w:val="none"/>
          <w14:textFill>
            <w14:solidFill>
              <w14:schemeClr w14:val="tx1"/>
            </w14:solidFill>
          </w14:textFill>
        </w:rPr>
        <w:fldChar w:fldCharType="end"/>
      </w:r>
      <w:r>
        <w:rPr>
          <w:rFonts w:hint="eastAsia" w:ascii="Calibri" w:hAnsi="Calibri" w:eastAsia="黑体" w:cs="Times New Roman"/>
          <w:b/>
          <w:bCs/>
          <w:caps/>
          <w:color w:val="000000" w:themeColor="text1"/>
          <w:sz w:val="24"/>
          <w:szCs w:val="20"/>
          <w:highlight w:val="none"/>
          <w:lang w:val="en-US" w:eastAsia="zh-CN"/>
          <w14:textFill>
            <w14:solidFill>
              <w14:schemeClr w14:val="tx1"/>
            </w14:solidFill>
          </w14:textFill>
        </w:rPr>
        <w:t>2</w:t>
      </w:r>
    </w:p>
    <w:p>
      <w:pPr>
        <w:tabs>
          <w:tab w:val="right" w:leader="dot" w:pos="8630"/>
        </w:tabs>
        <w:spacing w:before="120" w:after="120"/>
        <w:jc w:val="left"/>
        <w:rPr>
          <w:rFonts w:ascii="Calibri" w:hAnsi="Calibri" w:eastAsia="黑体" w:cs="Times New Roman"/>
          <w:color w:val="000000" w:themeColor="text1"/>
          <w:sz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"_Toc489972852" </w:instrText>
      </w:r>
      <w:r>
        <w:rPr>
          <w:color w:val="000000" w:themeColor="text1"/>
          <w:highlight w:val="none"/>
          <w14:textFill>
            <w14:solidFill>
              <w14:schemeClr w14:val="tx1"/>
            </w14:solidFill>
          </w14:textFill>
        </w:rPr>
        <w:fldChar w:fldCharType="separate"/>
      </w:r>
      <w:r>
        <w:rPr>
          <w:rFonts w:hint="eastAsia" w:ascii="Times New Roman" w:hAnsi="Times New Roman" w:eastAsia="黑体" w:cs="Times New Roman"/>
          <w:b/>
          <w:bCs/>
          <w:caps/>
          <w:color w:val="000000" w:themeColor="text1"/>
          <w:sz w:val="24"/>
          <w:szCs w:val="20"/>
          <w:highlight w:val="none"/>
          <w:u w:val="single"/>
          <w14:textFill>
            <w14:solidFill>
              <w14:schemeClr w14:val="tx1"/>
            </w14:solidFill>
          </w14:textFill>
        </w:rPr>
        <w:t>第四章合同条款及格式</w:t>
      </w:r>
      <w:r>
        <w:rPr>
          <w:rFonts w:ascii="Calibri" w:hAnsi="Calibri" w:eastAsia="黑体" w:cs="Times New Roman"/>
          <w:b/>
          <w:bCs/>
          <w:caps/>
          <w:color w:val="000000" w:themeColor="text1"/>
          <w:sz w:val="24"/>
          <w:szCs w:val="20"/>
          <w:highlight w:val="none"/>
          <w14:textFill>
            <w14:solidFill>
              <w14:schemeClr w14:val="tx1"/>
            </w14:solidFill>
          </w14:textFill>
        </w:rPr>
        <w:tab/>
      </w:r>
      <w:r>
        <w:rPr>
          <w:rFonts w:ascii="Calibri" w:hAnsi="Calibri" w:eastAsia="黑体" w:cs="Times New Roman"/>
          <w:b/>
          <w:bCs/>
          <w:caps/>
          <w:color w:val="000000" w:themeColor="text1"/>
          <w:sz w:val="24"/>
          <w:szCs w:val="20"/>
          <w:highlight w:val="none"/>
          <w14:textFill>
            <w14:solidFill>
              <w14:schemeClr w14:val="tx1"/>
            </w14:solidFill>
          </w14:textFill>
        </w:rPr>
        <w:fldChar w:fldCharType="end"/>
      </w:r>
      <w:r>
        <w:rPr>
          <w:rFonts w:hint="eastAsia" w:ascii="Calibri" w:hAnsi="Calibri" w:eastAsia="黑体" w:cs="Times New Roman"/>
          <w:b/>
          <w:bCs/>
          <w:caps/>
          <w:color w:val="000000" w:themeColor="text1"/>
          <w:sz w:val="24"/>
          <w:szCs w:val="20"/>
          <w:highlight w:val="none"/>
          <w14:textFill>
            <w14:solidFill>
              <w14:schemeClr w14:val="tx1"/>
            </w14:solidFill>
          </w14:textFill>
        </w:rPr>
        <w:t>2</w:t>
      </w:r>
      <w:r>
        <w:rPr>
          <w:rFonts w:hint="eastAsia" w:ascii="Calibri" w:hAnsi="Calibri" w:eastAsia="黑体" w:cs="Times New Roman"/>
          <w:b/>
          <w:bCs/>
          <w:caps/>
          <w:color w:val="000000" w:themeColor="text1"/>
          <w:sz w:val="24"/>
          <w:szCs w:val="20"/>
          <w:highlight w:val="none"/>
          <w:lang w:val="en-US" w:eastAsia="zh-CN"/>
          <w14:textFill>
            <w14:solidFill>
              <w14:schemeClr w14:val="tx1"/>
            </w14:solidFill>
          </w14:textFill>
        </w:rPr>
        <w:t>7</w:t>
      </w:r>
    </w:p>
    <w:p>
      <w:pPr>
        <w:tabs>
          <w:tab w:val="right" w:leader="dot" w:pos="8630"/>
        </w:tabs>
        <w:spacing w:before="120" w:after="120"/>
        <w:jc w:val="left"/>
        <w:rPr>
          <w:rFonts w:ascii="Calibri" w:hAnsi="Calibri" w:eastAsia="黑体" w:cs="Times New Roman"/>
          <w:color w:val="000000" w:themeColor="text1"/>
          <w:sz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"_Toc489972853" </w:instrText>
      </w:r>
      <w:r>
        <w:rPr>
          <w:color w:val="000000" w:themeColor="text1"/>
          <w:highlight w:val="none"/>
          <w14:textFill>
            <w14:solidFill>
              <w14:schemeClr w14:val="tx1"/>
            </w14:solidFill>
          </w14:textFill>
        </w:rPr>
        <w:fldChar w:fldCharType="separate"/>
      </w:r>
      <w:r>
        <w:rPr>
          <w:rFonts w:hint="eastAsia" w:ascii="Times New Roman" w:hAnsi="Times New Roman" w:eastAsia="黑体" w:cs="Times New Roman"/>
          <w:b/>
          <w:bCs/>
          <w:caps/>
          <w:color w:val="000000" w:themeColor="text1"/>
          <w:sz w:val="24"/>
          <w:szCs w:val="20"/>
          <w:highlight w:val="none"/>
          <w:u w:val="single"/>
          <w14:textFill>
            <w14:solidFill>
              <w14:schemeClr w14:val="tx1"/>
            </w14:solidFill>
          </w14:textFill>
        </w:rPr>
        <w:t>第五章项目需求</w:t>
      </w:r>
      <w:r>
        <w:rPr>
          <w:rFonts w:ascii="Calibri" w:hAnsi="Calibri" w:eastAsia="黑体" w:cs="Times New Roman"/>
          <w:b/>
          <w:bCs/>
          <w:caps/>
          <w:color w:val="000000" w:themeColor="text1"/>
          <w:sz w:val="24"/>
          <w:szCs w:val="20"/>
          <w:highlight w:val="none"/>
          <w14:textFill>
            <w14:solidFill>
              <w14:schemeClr w14:val="tx1"/>
            </w14:solidFill>
          </w14:textFill>
        </w:rPr>
        <w:tab/>
      </w:r>
      <w:r>
        <w:rPr>
          <w:rFonts w:ascii="Calibri" w:hAnsi="Calibri" w:eastAsia="黑体" w:cs="Times New Roman"/>
          <w:b/>
          <w:bCs/>
          <w:caps/>
          <w:color w:val="000000" w:themeColor="text1"/>
          <w:sz w:val="24"/>
          <w:szCs w:val="20"/>
          <w:highlight w:val="none"/>
          <w14:textFill>
            <w14:solidFill>
              <w14:schemeClr w14:val="tx1"/>
            </w14:solidFill>
          </w14:textFill>
        </w:rPr>
        <w:fldChar w:fldCharType="end"/>
      </w:r>
      <w:r>
        <w:rPr>
          <w:rFonts w:hint="eastAsia" w:ascii="Calibri" w:hAnsi="Calibri" w:eastAsia="黑体" w:cs="Times New Roman"/>
          <w:b/>
          <w:bCs/>
          <w:caps/>
          <w:color w:val="000000" w:themeColor="text1"/>
          <w:sz w:val="24"/>
          <w:szCs w:val="20"/>
          <w:highlight w:val="none"/>
          <w:lang w:val="en-US" w:eastAsia="zh-CN"/>
          <w14:textFill>
            <w14:solidFill>
              <w14:schemeClr w14:val="tx1"/>
            </w14:solidFill>
          </w14:textFill>
        </w:rPr>
        <w:t>44</w:t>
      </w:r>
    </w:p>
    <w:p>
      <w:pPr>
        <w:tabs>
          <w:tab w:val="right" w:leader="dot" w:pos="8630"/>
        </w:tabs>
        <w:spacing w:before="120" w:after="120"/>
        <w:jc w:val="left"/>
        <w:rPr>
          <w:rFonts w:ascii="Calibri" w:hAnsi="Calibri" w:eastAsia="黑体" w:cs="Times New Roman"/>
          <w:color w:val="000000" w:themeColor="text1"/>
          <w:sz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"_Toc489972857" </w:instrText>
      </w:r>
      <w:r>
        <w:rPr>
          <w:color w:val="000000" w:themeColor="text1"/>
          <w:highlight w:val="none"/>
          <w14:textFill>
            <w14:solidFill>
              <w14:schemeClr w14:val="tx1"/>
            </w14:solidFill>
          </w14:textFill>
        </w:rPr>
        <w:fldChar w:fldCharType="separate"/>
      </w:r>
      <w:r>
        <w:rPr>
          <w:rFonts w:hint="eastAsia" w:ascii="Times New Roman" w:hAnsi="Times New Roman" w:eastAsia="黑体" w:cs="Times New Roman"/>
          <w:b/>
          <w:bCs/>
          <w:caps/>
          <w:color w:val="000000" w:themeColor="text1"/>
          <w:sz w:val="24"/>
          <w:szCs w:val="20"/>
          <w:highlight w:val="none"/>
          <w:u w:val="single"/>
          <w14:textFill>
            <w14:solidFill>
              <w14:schemeClr w14:val="tx1"/>
            </w14:solidFill>
          </w14:textFill>
        </w:rPr>
        <w:t>第六章投标文件格式</w:t>
      </w:r>
      <w:r>
        <w:rPr>
          <w:rFonts w:ascii="Calibri" w:hAnsi="Calibri" w:eastAsia="黑体" w:cs="Times New Roman"/>
          <w:b/>
          <w:bCs/>
          <w:caps/>
          <w:color w:val="000000" w:themeColor="text1"/>
          <w:sz w:val="24"/>
          <w:szCs w:val="20"/>
          <w:highlight w:val="none"/>
          <w14:textFill>
            <w14:solidFill>
              <w14:schemeClr w14:val="tx1"/>
            </w14:solidFill>
          </w14:textFill>
        </w:rPr>
        <w:tab/>
      </w:r>
      <w:r>
        <w:rPr>
          <w:rFonts w:ascii="Calibri" w:hAnsi="Calibri" w:eastAsia="黑体" w:cs="Times New Roman"/>
          <w:b/>
          <w:bCs/>
          <w:caps/>
          <w:color w:val="000000" w:themeColor="text1"/>
          <w:sz w:val="24"/>
          <w:szCs w:val="20"/>
          <w:highlight w:val="none"/>
          <w14:textFill>
            <w14:solidFill>
              <w14:schemeClr w14:val="tx1"/>
            </w14:solidFill>
          </w14:textFill>
        </w:rPr>
        <w:fldChar w:fldCharType="end"/>
      </w:r>
      <w:r>
        <w:rPr>
          <w:rFonts w:hint="eastAsia" w:ascii="Calibri" w:hAnsi="Calibri" w:eastAsia="黑体" w:cs="Times New Roman"/>
          <w:b/>
          <w:bCs/>
          <w:caps/>
          <w:color w:val="000000" w:themeColor="text1"/>
          <w:sz w:val="24"/>
          <w:szCs w:val="20"/>
          <w:highlight w:val="none"/>
          <w:lang w:val="en-US" w:eastAsia="zh-CN"/>
          <w14:textFill>
            <w14:solidFill>
              <w14:schemeClr w14:val="tx1"/>
            </w14:solidFill>
          </w14:textFill>
        </w:rPr>
        <w:t>45</w:t>
      </w:r>
    </w:p>
    <w:p>
      <w:pPr>
        <w:spacing w:line="300" w:lineRule="exac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fldChar w:fldCharType="end"/>
      </w:r>
    </w:p>
    <w:p>
      <w:pPr>
        <w:keepNext/>
        <w:keepLines/>
        <w:numPr>
          <w:ilvl w:val="1"/>
          <w:numId w:val="0"/>
        </w:numPr>
        <w:tabs>
          <w:tab w:val="left" w:pos="708"/>
        </w:tabs>
        <w:snapToGrid w:val="0"/>
        <w:spacing w:line="300" w:lineRule="exact"/>
        <w:jc w:val="center"/>
        <w:outlineLvl w:val="1"/>
        <w:rPr>
          <w:rFonts w:ascii="Times New Roman" w:hAnsi="Times New Roman" w:eastAsia="宋体" w:cs="Times New Roman"/>
          <w:b/>
          <w:bCs/>
          <w:color w:val="000000" w:themeColor="text1"/>
          <w:kern w:val="0"/>
          <w:sz w:val="30"/>
          <w:szCs w:val="30"/>
          <w:highlight w:val="none"/>
          <w14:textFill>
            <w14:solidFill>
              <w14:schemeClr w14:val="tx1"/>
            </w14:solidFill>
          </w14:textFill>
        </w:rPr>
        <w:sectPr>
          <w:headerReference r:id="rId5" w:type="default"/>
          <w:footerReference r:id="rId6" w:type="default"/>
          <w:pgSz w:w="11906" w:h="16838"/>
          <w:pgMar w:top="1440" w:right="1466" w:bottom="1276" w:left="1800" w:header="851" w:footer="992" w:gutter="0"/>
          <w:pgNumType w:start="1"/>
          <w:cols w:space="720" w:num="1"/>
          <w:docGrid w:type="linesAndChars" w:linePitch="312" w:charSpace="0"/>
        </w:sectPr>
      </w:pPr>
    </w:p>
    <w:p>
      <w:pPr>
        <w:keepNext/>
        <w:keepLines/>
        <w:spacing w:line="360" w:lineRule="auto"/>
        <w:ind w:firstLine="2640" w:firstLineChars="600"/>
        <w:outlineLvl w:val="0"/>
        <w:rPr>
          <w:rFonts w:ascii="Calibri" w:hAnsi="Calibri" w:eastAsia="黑体" w:cs="Times New Roman"/>
          <w:b/>
          <w:bCs/>
          <w:color w:val="000000" w:themeColor="text1"/>
          <w:kern w:val="44"/>
          <w:sz w:val="44"/>
          <w:szCs w:val="44"/>
          <w:highlight w:val="none"/>
          <w14:textFill>
            <w14:solidFill>
              <w14:schemeClr w14:val="tx1"/>
            </w14:solidFill>
          </w14:textFill>
        </w:rPr>
      </w:pPr>
      <w:bookmarkStart w:id="0" w:name="_Toc489972849"/>
      <w:r>
        <w:rPr>
          <w:rFonts w:ascii="Calibri" w:hAnsi="Calibri" w:eastAsia="黑体" w:cs="Times New Roman"/>
          <w:b/>
          <w:bCs/>
          <w:color w:val="000000" w:themeColor="text1"/>
          <w:kern w:val="44"/>
          <w:sz w:val="44"/>
          <w:szCs w:val="44"/>
          <w:highlight w:val="none"/>
          <w14:textFill>
            <w14:solidFill>
              <w14:schemeClr w14:val="tx1"/>
            </w14:solidFill>
          </w14:textFill>
        </w:rPr>
        <w:t>第一章招标公告</w:t>
      </w:r>
      <w:bookmarkEnd w:id="0"/>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bookmarkStart w:id="1" w:name="_Toc2623"/>
      <w:bookmarkStart w:id="346" w:name="_GoBack"/>
      <w:r>
        <w:rPr>
          <w:rFonts w:ascii="DLRIFU+ËÎÌå" w:hAnsi="DLRIFU+ËÎÌå" w:cs="DLRIFU+ËÎÌå"/>
          <w:color w:val="000000" w:themeColor="text1"/>
          <w:spacing w:val="1"/>
          <w:sz w:val="24"/>
          <w:highlight w:val="none"/>
          <w:lang w:val="ru-RU"/>
          <w14:textFill>
            <w14:solidFill>
              <w14:schemeClr w14:val="tx1"/>
            </w14:solidFill>
          </w14:textFill>
        </w:rPr>
        <w:t>一、招标条件</w:t>
      </w:r>
    </w:p>
    <w:p>
      <w:pPr>
        <w:widowControl/>
        <w:spacing w:before="214" w:line="440" w:lineRule="exact"/>
        <w:ind w:left="422"/>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2"/>
          <w:highlight w:val="none"/>
          <w:lang w:val="ru-RU"/>
          <w14:textFill>
            <w14:solidFill>
              <w14:schemeClr w14:val="tx1"/>
            </w14:solidFill>
          </w14:textFill>
        </w:rPr>
        <w:t>本</w:t>
      </w:r>
      <w:r>
        <w:rPr>
          <w:rFonts w:hint="eastAsia" w:ascii="DLRIFU+ËÎÌå" w:hAnsi="DLRIFU+ËÎÌå" w:cs="DLRIFU+ËÎÌå"/>
          <w:color w:val="000000" w:themeColor="text1"/>
          <w:spacing w:val="-1"/>
          <w:highlight w:val="none"/>
          <w:lang w:val="ru-RU"/>
          <w14:textFill>
            <w14:solidFill>
              <w14:schemeClr w14:val="tx1"/>
            </w14:solidFill>
          </w14:textFill>
        </w:rPr>
        <w:t>重庆银行“监管统计报表系统”项目</w:t>
      </w:r>
      <w:r>
        <w:rPr>
          <w:rFonts w:ascii="DLRIFU+ËÎÌå" w:hAnsi="DLRIFU+ËÎÌå" w:cs="DLRIFU+ËÎÌå"/>
          <w:color w:val="000000" w:themeColor="text1"/>
          <w:spacing w:val="-1"/>
          <w:highlight w:val="none"/>
          <w:lang w:val="ru-RU"/>
          <w14:textFill>
            <w14:solidFill>
              <w14:schemeClr w14:val="tx1"/>
            </w14:solidFill>
          </w14:textFill>
        </w:rPr>
        <w:t>已由项目审批</w:t>
      </w:r>
      <w:r>
        <w:rPr>
          <w:rFonts w:ascii="Calibri"/>
          <w:color w:val="000000" w:themeColor="text1"/>
          <w:spacing w:val="-2"/>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核准</w:t>
      </w:r>
      <w:r>
        <w:rPr>
          <w:rFonts w:ascii="Calibri"/>
          <w:color w:val="000000" w:themeColor="text1"/>
          <w:highlight w:val="none"/>
          <w:lang w:val="ru-RU"/>
          <w14:textFill>
            <w14:solidFill>
              <w14:schemeClr w14:val="tx1"/>
            </w14:solidFill>
          </w14:textFill>
        </w:rPr>
        <w:t>/</w:t>
      </w:r>
      <w:r>
        <w:rPr>
          <w:rFonts w:ascii="DLRIFU+ËÎÌå" w:hAnsi="DLRIFU+ËÎÌå" w:cs="DLRIFU+ËÎÌå"/>
          <w:color w:val="000000" w:themeColor="text1"/>
          <w:spacing w:val="-5"/>
          <w:highlight w:val="none"/>
          <w:lang w:val="ru-RU"/>
          <w14:textFill>
            <w14:solidFill>
              <w14:schemeClr w14:val="tx1"/>
            </w14:solidFill>
          </w14:textFill>
        </w:rPr>
        <w:t>备案机关批准，项目资金为</w:t>
      </w:r>
      <w:r>
        <w:rPr>
          <w:rFonts w:ascii="DLRIFU+ËÎÌå" w:hAnsi="DLRIFU+ËÎÌå" w:cs="DLRIFU+ËÎÌå"/>
          <w:color w:val="000000" w:themeColor="text1"/>
          <w:spacing w:val="-1"/>
          <w:highlight w:val="none"/>
          <w:lang w:val="ru-RU"/>
          <w14:textFill>
            <w14:solidFill>
              <w14:schemeClr w14:val="tx1"/>
            </w14:solidFill>
          </w14:textFill>
        </w:rPr>
        <w:t>自筹资金</w:t>
      </w:r>
      <w:r>
        <w:rPr>
          <w:rFonts w:hint="eastAsia" w:ascii="Calibri"/>
          <w:color w:val="000000" w:themeColor="text1"/>
          <w:highlight w:val="none"/>
          <w:lang w:val="ru-RU"/>
          <w14:textFill>
            <w14:solidFill>
              <w14:schemeClr w14:val="tx1"/>
            </w14:solidFill>
          </w14:textFill>
        </w:rPr>
        <w:t>260</w:t>
      </w:r>
      <w:r>
        <w:rPr>
          <w:rFonts w:ascii="DLRIFU+ËÎÌå" w:hAnsi="DLRIFU+ËÎÌå" w:cs="DLRIFU+ËÎÌå"/>
          <w:color w:val="000000" w:themeColor="text1"/>
          <w:spacing w:val="-1"/>
          <w:highlight w:val="none"/>
          <w:lang w:val="ru-RU"/>
          <w14:textFill>
            <w14:solidFill>
              <w14:schemeClr w14:val="tx1"/>
            </w14:solidFill>
          </w14:textFill>
        </w:rPr>
        <w:t>万元；招标人为重庆银行股份有限公司。本项目已具备招标条件，现进行公开招标</w:t>
      </w:r>
      <w:r>
        <w:rPr>
          <w:rFonts w:ascii="DLRIFU+ËÎÌå" w:hAnsi="DLRIFU+ËÎÌå" w:cs="DLRIFU+ËÎÌå"/>
          <w:color w:val="000000" w:themeColor="text1"/>
          <w:highlight w:val="none"/>
          <w:lang w:val="ru-RU"/>
          <w14:textFill>
            <w14:solidFill>
              <w14:schemeClr w14:val="tx1"/>
            </w14:solidFill>
          </w14:textFill>
        </w:rPr>
        <w:t>。</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二、项目概况和招标范围</w:t>
      </w:r>
    </w:p>
    <w:p>
      <w:pPr>
        <w:widowControl/>
        <w:spacing w:before="214"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规模：</w:t>
      </w:r>
      <w:r>
        <w:rPr>
          <w:rFonts w:hint="eastAsia" w:ascii="DLRIFU+ËÎÌå" w:hAnsi="DLRIFU+ËÎÌå" w:cs="DLRIFU+ËÎÌå"/>
          <w:color w:val="000000" w:themeColor="text1"/>
          <w:spacing w:val="-1"/>
          <w:highlight w:val="none"/>
          <w:lang w:val="ru-RU"/>
          <w14:textFill>
            <w14:solidFill>
              <w14:schemeClr w14:val="tx1"/>
            </w14:solidFill>
          </w14:textFill>
        </w:rPr>
        <w:t>重庆银行“监管统计报表系统”项目</w:t>
      </w:r>
      <w:r>
        <w:rPr>
          <w:rFonts w:ascii="Calibri"/>
          <w:color w:val="000000" w:themeColor="text1"/>
          <w:spacing w:val="-2"/>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采购预算：</w:t>
      </w:r>
      <w:r>
        <w:rPr>
          <w:rFonts w:hint="eastAsia" w:ascii="Calibri"/>
          <w:color w:val="000000" w:themeColor="text1"/>
          <w:highlight w:val="none"/>
          <w:lang w:val="ru-RU"/>
          <w14:textFill>
            <w14:solidFill>
              <w14:schemeClr w14:val="tx1"/>
            </w14:solidFill>
          </w14:textFill>
        </w:rPr>
        <w:t>260</w:t>
      </w:r>
      <w:r>
        <w:rPr>
          <w:rFonts w:ascii="DLRIFU+ËÎÌå" w:hAnsi="DLRIFU+ËÎÌå" w:cs="DLRIFU+ËÎÌå"/>
          <w:color w:val="000000" w:themeColor="text1"/>
          <w:highlight w:val="none"/>
          <w:lang w:val="ru-RU"/>
          <w14:textFill>
            <w14:solidFill>
              <w14:schemeClr w14:val="tx1"/>
            </w14:solidFill>
          </w14:textFill>
        </w:rPr>
        <w:t>万元</w:t>
      </w:r>
      <w:r>
        <w:rPr>
          <w:rFonts w:hint="eastAsia" w:ascii="DLRIFU+ËÎÌå" w:hAnsi="DLRIFU+ËÎÌå" w:cs="DLRIFU+ËÎÌå"/>
          <w:color w:val="000000" w:themeColor="text1"/>
          <w:highlight w:val="none"/>
          <w:lang w:val="ru-RU"/>
          <w14:textFill>
            <w14:solidFill>
              <w14:schemeClr w14:val="tx1"/>
            </w14:solidFill>
          </w14:textFill>
        </w:rPr>
        <w:t>。</w:t>
      </w:r>
    </w:p>
    <w:p>
      <w:pPr>
        <w:widowControl/>
        <w:spacing w:before="200"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范围：本招标项目划分为</w:t>
      </w:r>
      <w:r>
        <w:rPr>
          <w:rFonts w:ascii="Calibri"/>
          <w:color w:val="000000" w:themeColor="text1"/>
          <w:highlight w:val="none"/>
          <w:lang w:val="ru-RU"/>
          <w14:textFill>
            <w14:solidFill>
              <w14:schemeClr w14:val="tx1"/>
            </w14:solidFill>
          </w14:textFill>
        </w:rPr>
        <w:t>1</w:t>
      </w:r>
      <w:r>
        <w:rPr>
          <w:rFonts w:ascii="DLRIFU+ËÎÌå" w:hAnsi="DLRIFU+ËÎÌå" w:cs="DLRIFU+ËÎÌå"/>
          <w:color w:val="000000" w:themeColor="text1"/>
          <w:spacing w:val="-1"/>
          <w:highlight w:val="none"/>
          <w:lang w:val="ru-RU"/>
          <w14:textFill>
            <w14:solidFill>
              <w14:schemeClr w14:val="tx1"/>
            </w14:solidFill>
          </w14:textFill>
        </w:rPr>
        <w:t>个标段，本次招标为其中的：</w:t>
      </w:r>
    </w:p>
    <w:p>
      <w:pPr>
        <w:widowControl/>
        <w:spacing w:before="200" w:line="440" w:lineRule="exact"/>
        <w:ind w:left="422"/>
        <w:jc w:val="left"/>
        <w:rPr>
          <w:rFonts w:ascii="Calibri"/>
          <w:color w:val="000000" w:themeColor="text1"/>
          <w:highlight w:val="none"/>
          <w:lang w:val="ru-RU"/>
          <w14:textFill>
            <w14:solidFill>
              <w14:schemeClr w14:val="tx1"/>
            </w14:solidFill>
          </w14:textFill>
        </w:rPr>
      </w:pPr>
      <w:r>
        <w:rPr>
          <w:rFonts w:ascii="Calibri"/>
          <w:color w:val="000000" w:themeColor="text1"/>
          <w:spacing w:val="-1"/>
          <w:highlight w:val="none"/>
          <w:lang w:val="ru-RU"/>
          <w14:textFill>
            <w14:solidFill>
              <w14:schemeClr w14:val="tx1"/>
            </w14:solidFill>
          </w14:textFill>
        </w:rPr>
        <w:t>(001)</w:t>
      </w:r>
      <w:r>
        <w:rPr>
          <w:rFonts w:hint="eastAsia" w:ascii="DLRIFU+ËÎÌå" w:hAnsi="DLRIFU+ËÎÌå" w:cs="DLRIFU+ËÎÌå"/>
          <w:color w:val="000000" w:themeColor="text1"/>
          <w:spacing w:val="-1"/>
          <w:highlight w:val="none"/>
          <w:lang w:val="ru-RU"/>
          <w14:textFill>
            <w14:solidFill>
              <w14:schemeClr w14:val="tx1"/>
            </w14:solidFill>
          </w14:textFill>
        </w:rPr>
        <w:t>重庆银行“监管统计报表系统”项目</w:t>
      </w:r>
      <w:r>
        <w:rPr>
          <w:rFonts w:ascii="Calibri"/>
          <w:color w:val="000000" w:themeColor="text1"/>
          <w:highlight w:val="none"/>
          <w:lang w:val="ru-RU"/>
          <w14:textFill>
            <w14:solidFill>
              <w14:schemeClr w14:val="tx1"/>
            </w14:solidFill>
          </w14:textFill>
        </w:rPr>
        <w:t>;</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三、投标人资格要求</w:t>
      </w:r>
    </w:p>
    <w:p>
      <w:pPr>
        <w:ind w:firstLine="412" w:firstLineChars="200"/>
        <w:rPr>
          <w:rFonts w:ascii="DLRIFU+ËÎÌå" w:hAnsi="DLRIFU+ËÎÌå" w:cs="DLRIFU+ËÎÌå"/>
          <w:color w:val="000000" w:themeColor="text1"/>
          <w:spacing w:val="-1"/>
          <w:highlight w:val="none"/>
          <w:lang w:val="ru-RU"/>
          <w14:textFill>
            <w14:solidFill>
              <w14:schemeClr w14:val="tx1"/>
            </w14:solidFill>
          </w14:textFill>
        </w:rPr>
      </w:pPr>
      <w:r>
        <w:rPr>
          <w:rFonts w:ascii="Calibri"/>
          <w:color w:val="000000" w:themeColor="text1"/>
          <w:spacing w:val="-2"/>
          <w:highlight w:val="none"/>
          <w:lang w:val="ru-RU"/>
          <w14:textFill>
            <w14:solidFill>
              <w14:schemeClr w14:val="tx1"/>
            </w14:solidFill>
          </w14:textFill>
        </w:rPr>
        <w:t>(001</w:t>
      </w:r>
      <w:r>
        <w:rPr>
          <w:rFonts w:hint="eastAsia" w:ascii="DLRIFU+ËÎÌå" w:hAnsi="DLRIFU+ËÎÌå" w:cs="DLRIFU+ËÎÌå"/>
          <w:color w:val="000000" w:themeColor="text1"/>
          <w:spacing w:val="-1"/>
          <w:highlight w:val="none"/>
          <w:lang w:val="ru-RU"/>
          <w14:textFill>
            <w14:solidFill>
              <w14:schemeClr w14:val="tx1"/>
            </w14:solidFill>
          </w14:textFill>
        </w:rPr>
        <w:t>重庆银行“监管统计报表系统”项目</w:t>
      </w:r>
      <w:r>
        <w:rPr>
          <w:rFonts w:ascii="Calibri"/>
          <w:color w:val="000000" w:themeColor="text1"/>
          <w:spacing w:val="1"/>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ind w:firstLine="416" w:firstLineChars="200"/>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（一）具有独立法人资格，提供营业执照复印件并加盖投标人公章，原件备查。</w:t>
      </w:r>
    </w:p>
    <w:p>
      <w:pPr>
        <w:ind w:firstLine="416" w:firstLineChars="200"/>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二）在重庆、四川2个地区范围内，至少有一个固定的维护团队，且总人数不低于10人。提供维护团队人员清单及2018年11月至2019年4月期间投标人为其缴纳的养老保险证明（第三方人力外包公司代为缴纳的不能作为有效证明）；明确人员资质（从业年限、任职情况、执业证书）及各个人员负责的维护系统。</w:t>
      </w:r>
    </w:p>
    <w:p>
      <w:pPr>
        <w:ind w:firstLine="416" w:firstLineChars="200"/>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三）2016年1月1日至本项目招标文件发出之日期间，有实施国内银行总行级机构的银行业监管报表报送平台系统的案例不少于2个。单个案例内容需至少包含以下模块中的任意三个：人行大集中报表、银监非现场监管报表、利率报备、金融标准化、银监区域特色报表、EAST。</w:t>
      </w:r>
    </w:p>
    <w:p>
      <w:pPr>
        <w:ind w:firstLine="416" w:firstLineChars="200"/>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证明材料要求：1）案例合同复印件加盖投标人公章，原件备查；2）合同复印件须包含合同首页、甲乙双方盖章页及包含业务范围描述的服务或产品内容页（如无法提供服务或产品内容页，或提供的服务或产品内容页无法直接证明其符合本条案例要求，投标人还须提供相关证明材料且该证明材料须经评标委员会认定其实质性工作内容符合本条案例要求）；3）案例时间以合同签订时间为准。</w:t>
      </w:r>
    </w:p>
    <w:p>
      <w:pPr>
        <w:ind w:firstLine="416" w:firstLineChars="200"/>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注：投标人自行填报资格要求业绩和评分要求业绩（见附件），评标委员会按照投标人自行填列的资格要求业绩进行初步评审，按照有效投标人自行填列的评分要求业绩进行评分评审。</w:t>
      </w:r>
    </w:p>
    <w:p>
      <w:pPr>
        <w:ind w:firstLine="416" w:firstLineChars="200"/>
        <w:rPr>
          <w:rFonts w:ascii="DLRIFU+ËÎÌå" w:hAnsi="DLRIFU+ËÎÌå" w:cs="DLRIFU+ËÎÌå"/>
          <w:color w:val="000000" w:themeColor="text1"/>
          <w:spacing w:val="-1"/>
          <w:highlight w:val="none"/>
          <w:lang w:val="ru-RU"/>
          <w14:textFill>
            <w14:solidFill>
              <w14:schemeClr w14:val="tx1"/>
            </w14:solidFill>
          </w14:textFill>
        </w:rPr>
      </w:pPr>
    </w:p>
    <w:p>
      <w:pPr>
        <w:ind w:firstLine="416" w:firstLineChars="200"/>
        <w:rPr>
          <w:rFonts w:ascii="DLRIFU+ËÎÌå" w:hAnsi="DLRIFU+ËÎÌå" w:cs="DLRIFU+ËÎÌå"/>
          <w:color w:val="000000" w:themeColor="text1"/>
          <w:spacing w:val="-1"/>
          <w:highlight w:val="none"/>
          <w:lang w:val="ru-RU"/>
          <w14:textFill>
            <w14:solidFill>
              <w14:schemeClr w14:val="tx1"/>
            </w14:solidFill>
          </w14:textFill>
        </w:rPr>
      </w:pPr>
    </w:p>
    <w:p>
      <w:pPr>
        <w:widowControl/>
        <w:spacing w:before="200"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本项目不允许联合体投标。</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四、招标文件的获取</w:t>
      </w:r>
    </w:p>
    <w:p>
      <w:pPr>
        <w:widowControl/>
        <w:spacing w:before="120" w:after="240" w:line="440" w:lineRule="exact"/>
        <w:rPr>
          <w:rFonts w:ascii="DLRIFU+ËÎÌå" w:hAnsi="DLRIFU+ËÎÌå" w:cs="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获取时间：</w:t>
      </w:r>
      <w:r>
        <w:rPr>
          <w:rFonts w:ascii="DLRIFU+ËÎÌå" w:hAnsi="DLRIFU+ËÎÌå" w:cs="DLRIFU+ËÎÌå"/>
          <w:color w:val="000000" w:themeColor="text1"/>
          <w:highlight w:val="none"/>
          <w:lang w:val="ru-RU"/>
          <w14:textFill>
            <w14:solidFill>
              <w14:schemeClr w14:val="tx1"/>
            </w14:solidFill>
          </w14:textFill>
        </w:rPr>
        <w:t>从</w:t>
      </w:r>
      <w:r>
        <w:rPr>
          <w:rFonts w:ascii="Calibri"/>
          <w:color w:val="000000" w:themeColor="text1"/>
          <w:spacing w:val="-1"/>
          <w:highlight w:val="none"/>
          <w:lang w:val="ru-RU"/>
          <w14:textFill>
            <w14:solidFill>
              <w14:schemeClr w14:val="tx1"/>
            </w14:solidFill>
          </w14:textFill>
        </w:rPr>
        <w:t>201</w:t>
      </w:r>
      <w:r>
        <w:rPr>
          <w:rFonts w:hint="eastAsia" w:ascii="Calibri"/>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lang w:val="en-US" w:eastAsia="zh-CN"/>
          <w14:textFill>
            <w14:solidFill>
              <w14:schemeClr w14:val="tx1"/>
            </w14:solidFill>
          </w14:textFill>
        </w:rPr>
        <w:t xml:space="preserve"> 5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lang w:val="en-US" w:eastAsia="zh-CN"/>
          <w14:textFill>
            <w14:solidFill>
              <w14:schemeClr w14:val="tx1"/>
            </w14:solidFill>
          </w14:textFill>
        </w:rPr>
        <w:t xml:space="preserve"> 30 </w:t>
      </w:r>
      <w:r>
        <w:rPr>
          <w:rFonts w:ascii="DLRIFU+ËÎÌå" w:hAnsi="DLRIFU+ËÎÌå" w:cs="DLRIFU+ËÎÌå"/>
          <w:color w:val="000000" w:themeColor="text1"/>
          <w:highlight w:val="none"/>
          <w:lang w:val="ru-RU"/>
          <w14:textFill>
            <w14:solidFill>
              <w14:schemeClr w14:val="tx1"/>
            </w14:solidFill>
          </w14:textFill>
        </w:rPr>
        <w:t>日</w:t>
      </w:r>
      <w:r>
        <w:rPr>
          <w:rFonts w:ascii="Calibri"/>
          <w:color w:val="000000" w:themeColor="text1"/>
          <w:spacing w:val="-1"/>
          <w:highlight w:val="none"/>
          <w:lang w:val="ru-RU"/>
          <w14:textFill>
            <w14:solidFill>
              <w14:schemeClr w14:val="tx1"/>
            </w14:solidFill>
          </w14:textFill>
        </w:rPr>
        <w:t>09</w:t>
      </w:r>
      <w:r>
        <w:rPr>
          <w:rFonts w:ascii="DLRIFU+ËÎÌå" w:hAnsi="DLRIFU+ËÎÌå" w:cs="DLRIFU+ËÎÌå"/>
          <w:color w:val="000000" w:themeColor="text1"/>
          <w:highlight w:val="none"/>
          <w:lang w:val="ru-RU"/>
          <w14:textFill>
            <w14:solidFill>
              <w14:schemeClr w14:val="tx1"/>
            </w14:solidFill>
          </w14:textFill>
        </w:rPr>
        <w:t>时</w:t>
      </w:r>
      <w:r>
        <w:rPr>
          <w:rFonts w:ascii="Calibri"/>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分到</w:t>
      </w:r>
      <w:r>
        <w:rPr>
          <w:rFonts w:ascii="Calibri"/>
          <w:color w:val="000000" w:themeColor="text1"/>
          <w:spacing w:val="-1"/>
          <w:highlight w:val="none"/>
          <w:lang w:val="ru-RU"/>
          <w14:textFill>
            <w14:solidFill>
              <w14:schemeClr w14:val="tx1"/>
            </w14:solidFill>
          </w14:textFill>
        </w:rPr>
        <w:t>201</w:t>
      </w:r>
      <w:r>
        <w:rPr>
          <w:rFonts w:hint="eastAsia" w:ascii="Calibri"/>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lang w:val="en-US" w:eastAsia="zh-CN"/>
          <w14:textFill>
            <w14:solidFill>
              <w14:schemeClr w14:val="tx1"/>
            </w14:solidFill>
          </w14:textFill>
        </w:rPr>
        <w:t xml:space="preserve"> 6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lang w:val="en-US" w:eastAsia="zh-CN"/>
          <w14:textFill>
            <w14:solidFill>
              <w14:schemeClr w14:val="tx1"/>
            </w14:solidFill>
          </w14:textFill>
        </w:rPr>
        <w:t xml:space="preserve"> 24 </w:t>
      </w:r>
      <w:r>
        <w:rPr>
          <w:rFonts w:ascii="DLRIFU+ËÎÌå" w:hAnsi="DLRIFU+ËÎÌå" w:cs="DLRIFU+ËÎÌå"/>
          <w:color w:val="000000" w:themeColor="text1"/>
          <w:highlight w:val="none"/>
          <w:lang w:val="ru-RU"/>
          <w14:textFill>
            <w14:solidFill>
              <w14:schemeClr w14:val="tx1"/>
            </w14:solidFill>
          </w14:textFill>
        </w:rPr>
        <w:t>日</w:t>
      </w:r>
      <w:r>
        <w:rPr>
          <w:rFonts w:hint="eastAsia" w:ascii="DLRIFU+ËÎÌå" w:hAnsi="DLRIFU+ËÎÌå" w:cs="DLRIFU+ËÎÌå"/>
          <w:color w:val="000000" w:themeColor="text1"/>
          <w:highlight w:val="none"/>
          <w:lang w:val="en-US" w:eastAsia="zh-CN"/>
          <w14:textFill>
            <w14:solidFill>
              <w14:schemeClr w14:val="tx1"/>
            </w14:solidFill>
          </w14:textFill>
        </w:rPr>
        <w:t xml:space="preserve"> 09 </w:t>
      </w:r>
      <w:r>
        <w:rPr>
          <w:rFonts w:ascii="DLRIFU+ËÎÌå" w:hAnsi="DLRIFU+ËÎÌå" w:cs="DLRIFU+ËÎÌå"/>
          <w:color w:val="000000" w:themeColor="text1"/>
          <w:highlight w:val="none"/>
          <w:lang w:val="ru-RU"/>
          <w14:textFill>
            <w14:solidFill>
              <w14:schemeClr w14:val="tx1"/>
            </w14:solidFill>
          </w14:textFill>
        </w:rPr>
        <w:t>时</w:t>
      </w:r>
      <w:r>
        <w:rPr>
          <w:rFonts w:hint="eastAsia" w:ascii="DLRIFU+ËÎÌå" w:hAnsi="DLRIFU+ËÎÌå" w:cs="DLRIFU+ËÎÌå"/>
          <w:color w:val="000000" w:themeColor="text1"/>
          <w:highlight w:val="none"/>
          <w:lang w:val="en-US" w:eastAsia="zh-CN"/>
          <w14:textFill>
            <w14:solidFill>
              <w14:schemeClr w14:val="tx1"/>
            </w14:solidFill>
          </w14:textFill>
        </w:rPr>
        <w:t xml:space="preserve"> 59 </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247"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获取方式：</w:t>
      </w:r>
      <w:r>
        <w:rPr>
          <w:rFonts w:hint="eastAsia" w:ascii="DLRIFU+ËÎÌå" w:hAnsi="DLRIFU+ËÎÌå" w:cs="DLRIFU+ËÎÌå"/>
          <w:color w:val="000000" w:themeColor="text1"/>
          <w:spacing w:val="-1"/>
          <w:highlight w:val="none"/>
          <w:lang w:val="ru-RU"/>
          <w14:textFill>
            <w14:solidFill>
              <w14:schemeClr w14:val="tx1"/>
            </w14:solidFill>
          </w14:textFill>
        </w:rPr>
        <w:t>凡愿意参加的潜在投标人，从本公告发布之日起至投标截止时间前，均可登录（《重庆国际投资咨询集团网》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五、投标文件的递交</w:t>
      </w:r>
    </w:p>
    <w:p>
      <w:pPr>
        <w:widowControl/>
        <w:spacing w:before="223"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递交截止时间：</w:t>
      </w:r>
      <w:r>
        <w:rPr>
          <w:rFonts w:ascii="Calibri"/>
          <w:color w:val="000000" w:themeColor="text1"/>
          <w:spacing w:val="-1"/>
          <w:highlight w:val="none"/>
          <w:lang w:val="ru-RU"/>
          <w14:textFill>
            <w14:solidFill>
              <w14:schemeClr w14:val="tx1"/>
            </w14:solidFill>
          </w14:textFill>
        </w:rPr>
        <w:t>201</w:t>
      </w:r>
      <w:r>
        <w:rPr>
          <w:rFonts w:hint="eastAsia" w:ascii="Calibri"/>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lang w:val="en-US" w:eastAsia="zh-CN"/>
          <w14:textFill>
            <w14:solidFill>
              <w14:schemeClr w14:val="tx1"/>
            </w14:solidFill>
          </w14:textFill>
        </w:rPr>
        <w:t>6</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lang w:val="en-US" w:eastAsia="zh-CN"/>
          <w14:textFill>
            <w14:solidFill>
              <w14:schemeClr w14:val="tx1"/>
            </w14:solidFill>
          </w14:textFill>
        </w:rPr>
        <w:t>24</w:t>
      </w:r>
      <w:r>
        <w:rPr>
          <w:rFonts w:ascii="DLRIFU+ËÎÌå" w:hAnsi="DLRIFU+ËÎÌå" w:cs="DLRIFU+ËÎÌå"/>
          <w:color w:val="000000" w:themeColor="text1"/>
          <w:highlight w:val="none"/>
          <w:lang w:val="ru-RU"/>
          <w14:textFill>
            <w14:solidFill>
              <w14:schemeClr w14:val="tx1"/>
            </w14:solidFill>
          </w14:textFill>
        </w:rPr>
        <w:t>日</w:t>
      </w:r>
      <w:r>
        <w:rPr>
          <w:rFonts w:ascii="Calibri"/>
          <w:color w:val="000000" w:themeColor="text1"/>
          <w:spacing w:val="-1"/>
          <w:highlight w:val="none"/>
          <w:lang w:val="ru-RU"/>
          <w14:textFill>
            <w14:solidFill>
              <w14:schemeClr w14:val="tx1"/>
            </w14:solidFill>
          </w14:textFill>
        </w:rPr>
        <w:t>10</w:t>
      </w:r>
      <w:r>
        <w:rPr>
          <w:rFonts w:ascii="DLRIFU+ËÎÌå" w:hAnsi="DLRIFU+ËÎÌå" w:cs="DLRIFU+ËÎÌå"/>
          <w:color w:val="000000" w:themeColor="text1"/>
          <w:highlight w:val="none"/>
          <w:lang w:val="ru-RU"/>
          <w14:textFill>
            <w14:solidFill>
              <w14:schemeClr w14:val="tx1"/>
            </w14:solidFill>
          </w14:textFill>
        </w:rPr>
        <w:t>时</w:t>
      </w:r>
      <w:r>
        <w:rPr>
          <w:rFonts w:ascii="Calibri"/>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153"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递交方式：</w:t>
      </w:r>
      <w:r>
        <w:rPr>
          <w:rFonts w:cs="KLRFJD+ËÎÌå" w:asciiTheme="minorEastAsia" w:hAnsiTheme="minorEastAsia"/>
          <w:color w:val="000000" w:themeColor="text1"/>
          <w:spacing w:val="-1"/>
          <w:highlight w:val="none"/>
          <w:lang w:val="ru-RU"/>
          <w14:textFill>
            <w14:solidFill>
              <w14:schemeClr w14:val="tx1"/>
            </w14:solidFill>
          </w14:textFill>
        </w:rPr>
        <w:t>重庆市江北区五里店五简路2号重庆咨询大厦开标厅（详见A栋一楼指示屏）</w:t>
      </w:r>
      <w:r>
        <w:rPr>
          <w:rFonts w:cs="KLRFJD+ËÎÌå" w:asciiTheme="minorEastAsia" w:hAnsiTheme="minorEastAsia"/>
          <w:color w:val="000000" w:themeColor="text1"/>
          <w:spacing w:val="-6"/>
          <w:highlight w:val="none"/>
          <w:lang w:val="ru-RU"/>
          <w14:textFill>
            <w14:solidFill>
              <w14:schemeClr w14:val="tx1"/>
            </w14:solidFill>
          </w14:textFill>
        </w:rPr>
        <w:t>。</w:t>
      </w:r>
      <w:r>
        <w:rPr>
          <w:rFonts w:ascii="DLRIFU+ËÎÌå" w:hAnsi="DLRIFU+ËÎÌå" w:cs="DLRIFU+ËÎÌå"/>
          <w:color w:val="000000" w:themeColor="text1"/>
          <w:spacing w:val="-6"/>
          <w:highlight w:val="none"/>
          <w:lang w:val="ru-RU"/>
          <w14:textFill>
            <w14:solidFill>
              <w14:schemeClr w14:val="tx1"/>
            </w14:solidFill>
          </w14:textFill>
        </w:rPr>
        <w:t>现场递交。</w:t>
      </w:r>
    </w:p>
    <w:p>
      <w:pPr>
        <w:widowControl/>
        <w:spacing w:before="128"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六、开标时间及地点</w:t>
      </w:r>
    </w:p>
    <w:p>
      <w:pPr>
        <w:widowControl/>
        <w:spacing w:before="156"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开标时间：</w:t>
      </w:r>
      <w:r>
        <w:rPr>
          <w:rFonts w:ascii="Calibri"/>
          <w:color w:val="000000" w:themeColor="text1"/>
          <w:spacing w:val="-1"/>
          <w:highlight w:val="none"/>
          <w:lang w:val="ru-RU"/>
          <w14:textFill>
            <w14:solidFill>
              <w14:schemeClr w14:val="tx1"/>
            </w14:solidFill>
          </w14:textFill>
        </w:rPr>
        <w:t>201</w:t>
      </w:r>
      <w:r>
        <w:rPr>
          <w:rFonts w:hint="eastAsia" w:ascii="Calibri"/>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lang w:val="en-US" w:eastAsia="zh-CN"/>
          <w14:textFill>
            <w14:solidFill>
              <w14:schemeClr w14:val="tx1"/>
            </w14:solidFill>
          </w14:textFill>
        </w:rPr>
        <w:t>6</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lang w:val="en-US" w:eastAsia="zh-CN"/>
          <w14:textFill>
            <w14:solidFill>
              <w14:schemeClr w14:val="tx1"/>
            </w14:solidFill>
          </w14:textFill>
        </w:rPr>
        <w:t>24</w:t>
      </w:r>
      <w:r>
        <w:rPr>
          <w:rFonts w:ascii="DLRIFU+ËÎÌå" w:hAnsi="DLRIFU+ËÎÌå" w:cs="DLRIFU+ËÎÌå"/>
          <w:color w:val="000000" w:themeColor="text1"/>
          <w:highlight w:val="none"/>
          <w:lang w:val="ru-RU"/>
          <w14:textFill>
            <w14:solidFill>
              <w14:schemeClr w14:val="tx1"/>
            </w14:solidFill>
          </w14:textFill>
        </w:rPr>
        <w:t>日</w:t>
      </w:r>
      <w:r>
        <w:rPr>
          <w:rFonts w:ascii="Calibri"/>
          <w:color w:val="000000" w:themeColor="text1"/>
          <w:spacing w:val="-1"/>
          <w:highlight w:val="none"/>
          <w:lang w:val="ru-RU"/>
          <w14:textFill>
            <w14:solidFill>
              <w14:schemeClr w14:val="tx1"/>
            </w14:solidFill>
          </w14:textFill>
        </w:rPr>
        <w:t>10</w:t>
      </w:r>
      <w:r>
        <w:rPr>
          <w:rFonts w:ascii="DLRIFU+ËÎÌå" w:hAnsi="DLRIFU+ËÎÌå" w:cs="DLRIFU+ËÎÌå"/>
          <w:color w:val="000000" w:themeColor="text1"/>
          <w:highlight w:val="none"/>
          <w:lang w:val="ru-RU"/>
          <w14:textFill>
            <w14:solidFill>
              <w14:schemeClr w14:val="tx1"/>
            </w14:solidFill>
          </w14:textFill>
        </w:rPr>
        <w:t>时</w:t>
      </w:r>
      <w:r>
        <w:rPr>
          <w:rFonts w:ascii="Calibri"/>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150"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开标地点：</w:t>
      </w:r>
      <w:r>
        <w:rPr>
          <w:rFonts w:cs="KLRFJD+ËÎÌå" w:asciiTheme="minorEastAsia" w:hAnsiTheme="minorEastAsia"/>
          <w:color w:val="000000" w:themeColor="text1"/>
          <w:spacing w:val="-1"/>
          <w:highlight w:val="none"/>
          <w:lang w:val="ru-RU"/>
          <w14:textFill>
            <w14:solidFill>
              <w14:schemeClr w14:val="tx1"/>
            </w14:solidFill>
          </w14:textFill>
        </w:rPr>
        <w:t>重庆市江北区五里店五简路2号重庆咨询大厦开标厅（详见A栋一楼指示屏）</w:t>
      </w:r>
      <w:r>
        <w:rPr>
          <w:rFonts w:cs="KLRFJD+ËÎÌå" w:asciiTheme="minorEastAsia" w:hAnsiTheme="minorEastAsia"/>
          <w:color w:val="000000" w:themeColor="text1"/>
          <w:spacing w:val="-6"/>
          <w:highlight w:val="none"/>
          <w:lang w:val="ru-RU"/>
          <w14:textFill>
            <w14:solidFill>
              <w14:schemeClr w14:val="tx1"/>
            </w14:solidFill>
          </w14:textFill>
        </w:rPr>
        <w:t>。</w:t>
      </w:r>
    </w:p>
    <w:p>
      <w:pPr>
        <w:widowControl/>
        <w:spacing w:before="128"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七、其他</w:t>
      </w:r>
    </w:p>
    <w:p>
      <w:pPr>
        <w:widowControl/>
        <w:spacing w:before="144" w:line="440" w:lineRule="exact"/>
        <w:ind w:firstLine="412" w:firstLineChars="200"/>
        <w:jc w:val="left"/>
        <w:rPr>
          <w:rFonts w:ascii="DLRIFU+ËÎÌå" w:hAnsi="DLRIFU+ËÎÌå" w:cs="DLRIFU+ËÎÌå"/>
          <w:color w:val="000000" w:themeColor="text1"/>
          <w:spacing w:val="-6"/>
          <w:highlight w:val="none"/>
          <w:lang w:val="ru-RU"/>
          <w14:textFill>
            <w14:solidFill>
              <w14:schemeClr w14:val="tx1"/>
            </w14:solidFill>
          </w14:textFill>
        </w:rPr>
      </w:pPr>
      <w:r>
        <w:rPr>
          <w:rFonts w:ascii="DLRIFU+ËÎÌå" w:hAnsi="DLRIFU+ËÎÌå" w:cs="DLRIFU+ËÎÌå"/>
          <w:color w:val="000000" w:themeColor="text1"/>
          <w:spacing w:val="-2"/>
          <w:highlight w:val="none"/>
          <w:lang w:val="ru-RU"/>
          <w14:textFill>
            <w14:solidFill>
              <w14:schemeClr w14:val="tx1"/>
            </w14:solidFill>
          </w14:textFill>
        </w:rPr>
        <w:t>（</w:t>
      </w:r>
      <w:r>
        <w:rPr>
          <w:rFonts w:ascii="Calibri"/>
          <w:color w:val="000000" w:themeColor="text1"/>
          <w:spacing w:val="-1"/>
          <w:highlight w:val="none"/>
          <w:lang w:val="ru-RU"/>
          <w14:textFill>
            <w14:solidFill>
              <w14:schemeClr w14:val="tx1"/>
            </w14:solidFill>
          </w14:textFill>
        </w:rPr>
        <w:t>1</w:t>
      </w:r>
      <w:r>
        <w:rPr>
          <w:rFonts w:ascii="DLRIFU+ËÎÌå" w:hAnsi="DLRIFU+ËÎÌå" w:cs="DLRIFU+ËÎÌå"/>
          <w:color w:val="000000" w:themeColor="text1"/>
          <w:spacing w:val="-6"/>
          <w:highlight w:val="none"/>
          <w:lang w:val="ru-RU"/>
          <w14:textFill>
            <w14:solidFill>
              <w14:schemeClr w14:val="tx1"/>
            </w14:solidFill>
          </w14:textFill>
        </w:rPr>
        <w:t>）服务内容：</w:t>
      </w:r>
      <w:r>
        <w:rPr>
          <w:rFonts w:hint="eastAsia" w:ascii="DLRIFU+ËÎÌå" w:hAnsi="DLRIFU+ËÎÌå" w:cs="DLRIFU+ËÎÌå"/>
          <w:color w:val="000000" w:themeColor="text1"/>
          <w:spacing w:val="-6"/>
          <w:highlight w:val="none"/>
          <w:lang w:val="ru-RU"/>
          <w14:textFill>
            <w14:solidFill>
              <w14:schemeClr w14:val="tx1"/>
            </w14:solidFill>
          </w14:textFill>
        </w:rPr>
        <w:t>完成“监管统计报表”项目系统实施，符合行方质量与进度要求，提供业务与技术培训，完成知识转移，负责试运行期以及免费维护期内的运行维护，具体详见随本招标文件发出的附件《重庆银行监管统计报表系统项目技术方案》。</w:t>
      </w:r>
    </w:p>
    <w:p>
      <w:pPr>
        <w:widowControl/>
        <w:spacing w:before="144" w:line="440" w:lineRule="exact"/>
        <w:ind w:left="422"/>
        <w:jc w:val="left"/>
        <w:rPr>
          <w:rFonts w:ascii="DLRIFU+ËÎÌå" w:hAnsi="DLRIFU+ËÎÌå" w:cs="DLRIFU+ËÎÌå"/>
          <w:color w:val="000000" w:themeColor="text1"/>
          <w:spacing w:val="-6"/>
          <w:highlight w:val="none"/>
          <w:lang w:val="ru-RU"/>
          <w14:textFill>
            <w14:solidFill>
              <w14:schemeClr w14:val="tx1"/>
            </w14:solidFill>
          </w14:textFill>
        </w:rPr>
      </w:pPr>
      <w:r>
        <w:rPr>
          <w:rFonts w:ascii="DLRIFU+ËÎÌå" w:hAnsi="DLRIFU+ËÎÌå" w:cs="DLRIFU+ËÎÌå"/>
          <w:color w:val="000000" w:themeColor="text1"/>
          <w:spacing w:val="-6"/>
          <w:highlight w:val="none"/>
          <w:lang w:val="ru-RU"/>
          <w14:textFill>
            <w14:solidFill>
              <w14:schemeClr w14:val="tx1"/>
            </w14:solidFill>
          </w14:textFill>
        </w:rPr>
        <w:t>（2）服务地点：</w:t>
      </w:r>
      <w:r>
        <w:rPr>
          <w:rFonts w:hint="eastAsia" w:ascii="DLRIFU+ËÎÌå" w:hAnsi="DLRIFU+ËÎÌå" w:cs="DLRIFU+ËÎÌå"/>
          <w:color w:val="000000" w:themeColor="text1"/>
          <w:spacing w:val="-6"/>
          <w:highlight w:val="none"/>
          <w:lang w:val="ru-RU"/>
          <w14:textFill>
            <w14:solidFill>
              <w14:schemeClr w14:val="tx1"/>
            </w14:solidFill>
          </w14:textFill>
        </w:rPr>
        <w:t>重庆银行。</w:t>
      </w:r>
    </w:p>
    <w:p>
      <w:pPr>
        <w:widowControl/>
        <w:spacing w:line="580" w:lineRule="exact"/>
        <w:ind w:left="210" w:leftChars="100" w:firstLine="205" w:firstLineChars="98"/>
        <w:jc w:val="left"/>
        <w:rPr>
          <w:rFonts w:ascii="DLRIFU+ËÎÌå" w:hAnsi="DLRIFU+ËÎÌå" w:cs="DLRIFU+ËÎÌå"/>
          <w:color w:val="000000" w:themeColor="text1"/>
          <w:spacing w:val="-6"/>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w:t>
      </w:r>
      <w:r>
        <w:rPr>
          <w:rFonts w:ascii="Calibri"/>
          <w:color w:val="000000" w:themeColor="text1"/>
          <w:spacing w:val="1"/>
          <w:highlight w:val="none"/>
          <w:lang w:val="ru-RU"/>
          <w14:textFill>
            <w14:solidFill>
              <w14:schemeClr w14:val="tx1"/>
            </w14:solidFill>
          </w14:textFill>
        </w:rPr>
        <w:t>3</w:t>
      </w:r>
      <w:r>
        <w:rPr>
          <w:rFonts w:ascii="DLRIFU+ËÎÌå" w:hAnsi="DLRIFU+ËÎÌå" w:cs="DLRIFU+ËÎÌå"/>
          <w:color w:val="000000" w:themeColor="text1"/>
          <w:spacing w:val="-6"/>
          <w:highlight w:val="none"/>
          <w:lang w:val="ru-RU"/>
          <w14:textFill>
            <w14:solidFill>
              <w14:schemeClr w14:val="tx1"/>
            </w14:solidFill>
          </w14:textFill>
        </w:rPr>
        <w:t>）服务质量及验收要求：</w:t>
      </w:r>
      <w:r>
        <w:rPr>
          <w:rFonts w:hint="eastAsia" w:ascii="DLRIFU+ËÎÌå" w:hAnsi="DLRIFU+ËÎÌå" w:cs="DLRIFU+ËÎÌå"/>
          <w:color w:val="000000" w:themeColor="text1"/>
          <w:spacing w:val="-6"/>
          <w:highlight w:val="none"/>
          <w:lang w:val="ru-RU"/>
          <w14:textFill>
            <w14:solidFill>
              <w14:schemeClr w14:val="tx1"/>
            </w14:solidFill>
          </w14:textFill>
        </w:rPr>
        <w:t>项目建设过程及交付物成果、知识转移均应符合我行项目管理、质量管控、及项目验收要求。</w:t>
      </w:r>
    </w:p>
    <w:p>
      <w:pPr>
        <w:widowControl/>
        <w:spacing w:before="227" w:line="440" w:lineRule="exact"/>
        <w:ind w:firstLine="420"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w:t>
      </w:r>
      <w:r>
        <w:rPr>
          <w:rFonts w:ascii="Calibri"/>
          <w:color w:val="000000" w:themeColor="text1"/>
          <w:spacing w:val="-1"/>
          <w:highlight w:val="none"/>
          <w:lang w:val="ru-RU"/>
          <w14:textFill>
            <w14:solidFill>
              <w14:schemeClr w14:val="tx1"/>
            </w14:solidFill>
          </w14:textFill>
        </w:rPr>
        <w:t>4</w:t>
      </w:r>
      <w:r>
        <w:rPr>
          <w:rFonts w:ascii="DLRIFU+ËÎÌå" w:hAnsi="DLRIFU+ËÎÌå" w:cs="DLRIFU+ËÎÌå"/>
          <w:color w:val="000000" w:themeColor="text1"/>
          <w:spacing w:val="-1"/>
          <w:highlight w:val="none"/>
          <w:lang w:val="ru-RU"/>
          <w14:textFill>
            <w14:solidFill>
              <w14:schemeClr w14:val="tx1"/>
            </w14:solidFill>
          </w14:textFill>
        </w:rPr>
        <w:t>）服务期限：</w:t>
      </w:r>
      <w:r>
        <w:rPr>
          <w:rFonts w:hint="eastAsia" w:ascii="DLRIFU+ËÎÌå" w:hAnsi="DLRIFU+ËÎÌå" w:cs="DLRIFU+ËÎÌå"/>
          <w:color w:val="000000" w:themeColor="text1"/>
          <w:spacing w:val="-1"/>
          <w:highlight w:val="none"/>
          <w:lang w:val="ru-RU"/>
          <w14:textFill>
            <w14:solidFill>
              <w14:schemeClr w14:val="tx1"/>
            </w14:solidFill>
          </w14:textFill>
        </w:rPr>
        <w:t>从合同签订开始，7个月内上线运行。</w:t>
      </w:r>
    </w:p>
    <w:p>
      <w:pPr>
        <w:widowControl/>
        <w:spacing w:before="227" w:line="440" w:lineRule="exact"/>
        <w:ind w:firstLine="396" w:firstLineChars="200"/>
        <w:jc w:val="left"/>
        <w:rPr>
          <w:rFonts w:ascii="DLRIFU+ËÎÌå" w:hAnsi="DLRIFU+ËÎÌå" w:cs="DLRIFU+ËÎÌå"/>
          <w:color w:val="000000" w:themeColor="text1"/>
          <w:spacing w:val="-6"/>
          <w:highlight w:val="none"/>
          <w:lang w:val="ru-RU"/>
          <w14:textFill>
            <w14:solidFill>
              <w14:schemeClr w14:val="tx1"/>
            </w14:solidFill>
          </w14:textFill>
        </w:rPr>
      </w:pPr>
      <w:r>
        <w:rPr>
          <w:rFonts w:hint="eastAsia" w:ascii="DLRIFU+ËÎÌå" w:hAnsi="DLRIFU+ËÎÌå" w:cs="DLRIFU+ËÎÌå"/>
          <w:color w:val="000000" w:themeColor="text1"/>
          <w:spacing w:val="-6"/>
          <w:highlight w:val="none"/>
          <w:lang w:val="ru-RU"/>
          <w14:textFill>
            <w14:solidFill>
              <w14:schemeClr w14:val="tx1"/>
            </w14:solidFill>
          </w14:textFill>
        </w:rPr>
        <w:t>（5）服务成果要求</w:t>
      </w:r>
      <w:r>
        <w:rPr>
          <w:rFonts w:ascii="DLRIFU+ËÎÌå" w:hAnsi="DLRIFU+ËÎÌå" w:cs="DLRIFU+ËÎÌå"/>
          <w:color w:val="000000" w:themeColor="text1"/>
          <w:spacing w:val="-6"/>
          <w:highlight w:val="none"/>
          <w:lang w:val="ru-RU"/>
          <w14:textFill>
            <w14:solidFill>
              <w14:schemeClr w14:val="tx1"/>
            </w14:solidFill>
          </w14:textFill>
        </w:rPr>
        <w:t>：</w:t>
      </w:r>
      <w:r>
        <w:rPr>
          <w:rFonts w:hint="eastAsia" w:ascii="DLRIFU+ËÎÌå" w:hAnsi="DLRIFU+ËÎÌå" w:cs="DLRIFU+ËÎÌå"/>
          <w:color w:val="000000" w:themeColor="text1"/>
          <w:spacing w:val="-6"/>
          <w:highlight w:val="none"/>
          <w:lang w:val="ru-RU"/>
          <w14:textFill>
            <w14:solidFill>
              <w14:schemeClr w14:val="tx1"/>
            </w14:solidFill>
          </w14:textFill>
        </w:rPr>
        <w:t>业务范围应完整覆盖《重庆银行监管统计报表系统项目技术方案》的内容。</w:t>
      </w:r>
    </w:p>
    <w:p>
      <w:pPr>
        <w:widowControl/>
        <w:spacing w:before="227" w:line="440" w:lineRule="exact"/>
        <w:ind w:firstLine="396" w:firstLineChars="200"/>
        <w:jc w:val="left"/>
        <w:rPr>
          <w:rFonts w:cs="Times New Roman" w:asciiTheme="minorEastAsia" w:hAnsiTheme="minorEastAsia"/>
          <w:color w:val="000000" w:themeColor="text1"/>
          <w:kern w:val="0"/>
          <w:szCs w:val="21"/>
          <w:highlight w:val="none"/>
          <w:lang w:val="ru-RU"/>
          <w14:textFill>
            <w14:solidFill>
              <w14:schemeClr w14:val="tx1"/>
            </w14:solidFill>
          </w14:textFill>
        </w:rPr>
      </w:pPr>
      <w:r>
        <w:rPr>
          <w:rFonts w:hint="eastAsia" w:ascii="DLRIFU+ËÎÌå" w:hAnsi="DLRIFU+ËÎÌå" w:cs="DLRIFU+ËÎÌå"/>
          <w:color w:val="000000" w:themeColor="text1"/>
          <w:spacing w:val="-6"/>
          <w:highlight w:val="none"/>
          <w:lang w:val="ru-RU"/>
          <w14:textFill>
            <w14:solidFill>
              <w14:schemeClr w14:val="tx1"/>
            </w14:solidFill>
          </w14:textFill>
        </w:rPr>
        <w:t>（</w:t>
      </w:r>
      <w:r>
        <w:rPr>
          <w:rFonts w:hint="eastAsia" w:ascii="DLRIFU+ËÎÌå" w:hAnsi="DLRIFU+ËÎÌå" w:cs="DLRIFU+ËÎÌå"/>
          <w:color w:val="000000" w:themeColor="text1"/>
          <w:spacing w:val="-6"/>
          <w:highlight w:val="none"/>
          <w14:textFill>
            <w14:solidFill>
              <w14:schemeClr w14:val="tx1"/>
            </w14:solidFill>
          </w14:textFill>
        </w:rPr>
        <w:t>6</w:t>
      </w:r>
      <w:r>
        <w:rPr>
          <w:rFonts w:hint="eastAsia" w:ascii="DLRIFU+ËÎÌå" w:hAnsi="DLRIFU+ËÎÌå" w:cs="DLRIFU+ËÎÌå"/>
          <w:color w:val="000000" w:themeColor="text1"/>
          <w:spacing w:val="-6"/>
          <w:highlight w:val="none"/>
          <w:lang w:val="ru-RU"/>
          <w14:textFill>
            <w14:solidFill>
              <w14:schemeClr w14:val="tx1"/>
            </w14:solidFill>
          </w14:textFill>
        </w:rPr>
        <w:t>）</w:t>
      </w:r>
      <w:r>
        <w:rPr>
          <w:rFonts w:hint="eastAsia" w:cs="Times New Roman" w:asciiTheme="minorEastAsia" w:hAnsiTheme="minorEastAsia"/>
          <w:color w:val="000000" w:themeColor="text1"/>
          <w:kern w:val="0"/>
          <w:szCs w:val="21"/>
          <w:highlight w:val="none"/>
          <w:lang w:val="ru-RU"/>
          <w14:textFill>
            <w14:solidFill>
              <w14:schemeClr w14:val="tx1"/>
            </w14:solidFill>
          </w14:textFill>
        </w:rPr>
        <w:t>售后服务要求：</w:t>
      </w:r>
    </w:p>
    <w:p>
      <w:pPr>
        <w:widowControl/>
        <w:spacing w:before="227" w:line="440" w:lineRule="exact"/>
        <w:ind w:firstLine="420" w:firstLineChars="200"/>
        <w:jc w:val="left"/>
        <w:rPr>
          <w:rFonts w:cs="Times New Roman" w:asciiTheme="minorEastAsia" w:hAnsiTheme="minorEastAsia"/>
          <w:color w:val="000000" w:themeColor="text1"/>
          <w:kern w:val="0"/>
          <w:szCs w:val="21"/>
          <w:highlight w:val="none"/>
          <w:lang w:val="ru-RU"/>
          <w14:textFill>
            <w14:solidFill>
              <w14:schemeClr w14:val="tx1"/>
            </w14:solidFill>
          </w14:textFill>
        </w:rPr>
      </w:pPr>
      <w:r>
        <w:rPr>
          <w:rFonts w:hint="eastAsia" w:cs="Times New Roman" w:asciiTheme="minorEastAsia" w:hAnsiTheme="minorEastAsia"/>
          <w:color w:val="000000" w:themeColor="text1"/>
          <w:kern w:val="0"/>
          <w:szCs w:val="21"/>
          <w:highlight w:val="none"/>
          <w:lang w:val="ru-RU"/>
          <w14:textFill>
            <w14:solidFill>
              <w14:schemeClr w14:val="tx1"/>
            </w14:solidFill>
          </w14:textFill>
        </w:rPr>
        <w:t>中标厂商需要在正式合同中明确项目后期持续建设阶段的服务标准及驻场人力报价。上线验收后，厂商需提供不低于一年免费维护服务，并在合同中明确免费服务期后的维保服务标准和价格。在免费服务期内，凡遇系统出现大的故障（如系统无法正常使用），需立即派遣本地维护人员到现场支持解决问题，如本地维护人员不在现场，需在接到行方电话咨询后3小时以内给出正式的解决方案并以公司邮件方式发出。行方在此期间发现的生产系统产品缺陷，厂商需在接到行方正式问题邮件提出之日起，最长3日内给出解决方案，最长1月内完成缺陷修复并下发升级包。维护内容含：日常问题受理调查、疑难及重大问题现场调查、各大产品升级、各大产品问题修正及版本升级、定期回访与巡检等。对于软件产品自身的BUG，终身免费升级维护。</w:t>
      </w:r>
    </w:p>
    <w:p>
      <w:pPr>
        <w:widowControl/>
        <w:spacing w:before="227" w:line="440" w:lineRule="exact"/>
        <w:ind w:firstLine="420" w:firstLineChars="20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w:t>
      </w:r>
      <w:r>
        <w:rPr>
          <w:rFonts w:hint="eastAsia" w:ascii="DLRIFU+ËÎÌå" w:hAnsi="DLRIFU+ËÎÌå" w:cs="DLRIFU+ËÎÌå"/>
          <w:color w:val="000000" w:themeColor="text1"/>
          <w:highlight w:val="none"/>
          <w14:textFill>
            <w14:solidFill>
              <w14:schemeClr w14:val="tx1"/>
            </w14:solidFill>
          </w14:textFill>
        </w:rPr>
        <w:t>7</w:t>
      </w:r>
      <w:r>
        <w:rPr>
          <w:rFonts w:ascii="DLRIFU+ËÎÌå" w:hAnsi="DLRIFU+ËÎÌå" w:cs="DLRIFU+ËÎÌå"/>
          <w:color w:val="000000" w:themeColor="text1"/>
          <w:spacing w:val="-1"/>
          <w:highlight w:val="none"/>
          <w:lang w:val="ru-RU"/>
          <w14:textFill>
            <w14:solidFill>
              <w14:schemeClr w14:val="tx1"/>
            </w14:solidFill>
          </w14:textFill>
        </w:rPr>
        <w:t>）本次招标公告在中国招标投标公共服务平台</w:t>
      </w:r>
      <w:r>
        <w:rPr>
          <w:rFonts w:hint="eastAsia" w:cs="KLRFJD+ËÎÌå" w:asciiTheme="minorEastAsia" w:hAnsiTheme="minorEastAsia"/>
          <w:color w:val="000000" w:themeColor="text1"/>
          <w:spacing w:val="-1"/>
          <w:highlight w:val="none"/>
          <w:lang w:val="ru-RU"/>
          <w14:textFill>
            <w14:solidFill>
              <w14:schemeClr w14:val="tx1"/>
            </w14:solidFill>
          </w14:textFill>
        </w:rPr>
        <w:t>和重庆国际投资咨询集团网</w:t>
      </w:r>
      <w:r>
        <w:rPr>
          <w:rFonts w:cs="KLRFJD+ËÎÌå" w:asciiTheme="minorEastAsia" w:hAnsiTheme="minorEastAsia"/>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八、监督部门</w:t>
      </w:r>
    </w:p>
    <w:p>
      <w:pPr>
        <w:widowControl/>
        <w:spacing w:before="155" w:line="440" w:lineRule="exact"/>
        <w:jc w:val="left"/>
        <w:rPr>
          <w:rFonts w:ascii="DLRIFU+ËÎÌå" w:hAnsi="DLRIFU+ËÎÌå" w:cs="DLRIFU+ËÎÌå"/>
          <w:color w:val="000000" w:themeColor="text1"/>
          <w:spacing w:val="1"/>
          <w:sz w:val="24"/>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本招标项目的监督部门为重庆银行股份有限公司内控合规部</w:t>
      </w:r>
      <w:r>
        <w:rPr>
          <w:rFonts w:ascii="DLRIFU+ËÎÌå" w:hAnsi="DLRIFU+ËÎÌå" w:cs="DLRIFU+ËÎÌå"/>
          <w:color w:val="000000" w:themeColor="text1"/>
          <w:highlight w:val="none"/>
          <w:lang w:val="ru-RU"/>
          <w14:textFill>
            <w14:solidFill>
              <w14:schemeClr w14:val="tx1"/>
            </w14:solidFill>
          </w14:textFill>
        </w:rPr>
        <w:t>。</w:t>
      </w:r>
    </w:p>
    <w:p>
      <w:pPr>
        <w:widowControl/>
        <w:spacing w:before="15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九、联系方式</w:t>
      </w:r>
    </w:p>
    <w:p>
      <w:pPr>
        <w:widowControl/>
        <w:spacing w:before="233"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招标</w:t>
      </w:r>
      <w:r>
        <w:rPr>
          <w:rFonts w:ascii="DLRIFU+ËÎÌå" w:hAnsi="DLRIFU+ËÎÌå" w:cs="DLRIFU+ËÎÌå"/>
          <w:color w:val="000000" w:themeColor="text1"/>
          <w:spacing w:val="-1"/>
          <w:highlight w:val="none"/>
          <w:lang w:val="ru-RU"/>
          <w14:textFill>
            <w14:solidFill>
              <w14:schemeClr w14:val="tx1"/>
            </w14:solidFill>
          </w14:textFill>
        </w:rPr>
        <w:t>人：重庆银行股份有限公司</w:t>
      </w:r>
    </w:p>
    <w:p>
      <w:pPr>
        <w:widowControl/>
        <w:spacing w:before="233" w:line="440" w:lineRule="exact"/>
        <w:jc w:val="left"/>
        <w:rPr>
          <w:rFonts w:ascii="DLRIFU+ËÎÌå" w:hAnsi="DLRIFU+ËÎÌå" w:cs="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地</w:t>
      </w:r>
      <w:r>
        <w:rPr>
          <w:rFonts w:ascii="DLRIFU+ËÎÌå" w:hAnsi="DLRIFU+ËÎÌå" w:cs="DLRIFU+ËÎÌå"/>
          <w:color w:val="000000" w:themeColor="text1"/>
          <w:spacing w:val="-1"/>
          <w:highlight w:val="none"/>
          <w:lang w:val="ru-RU"/>
          <w14:textFill>
            <w14:solidFill>
              <w14:schemeClr w14:val="tx1"/>
            </w14:solidFill>
          </w14:textFill>
        </w:rPr>
        <w:t>址：重庆市江北区江北城街道永平门街</w:t>
      </w:r>
      <w:r>
        <w:rPr>
          <w:rFonts w:ascii="LJETLA+ËÎÌå"/>
          <w:color w:val="000000" w:themeColor="text1"/>
          <w:spacing w:val="50"/>
          <w:highlight w:val="none"/>
          <w:lang w:val="ru-RU"/>
          <w14:textFill>
            <w14:solidFill>
              <w14:schemeClr w14:val="tx1"/>
            </w14:solidFill>
          </w14:textFill>
        </w:rPr>
        <w:t>6</w:t>
      </w:r>
      <w:r>
        <w:rPr>
          <w:rFonts w:ascii="DLRIFU+ËÎÌå" w:hAnsi="DLRIFU+ËÎÌå" w:cs="DLRIFU+ËÎÌå"/>
          <w:color w:val="000000" w:themeColor="text1"/>
          <w:highlight w:val="none"/>
          <w:lang w:val="ru-RU"/>
          <w14:textFill>
            <w14:solidFill>
              <w14:schemeClr w14:val="tx1"/>
            </w14:solidFill>
          </w14:textFill>
        </w:rPr>
        <w:t>号</w:t>
      </w:r>
    </w:p>
    <w:p>
      <w:pPr>
        <w:widowControl/>
        <w:spacing w:before="120" w:after="240" w:line="440" w:lineRule="exact"/>
        <w:rPr>
          <w:rFonts w:ascii="DLRIFU+ËÎÌå"/>
          <w:color w:val="000000" w:themeColor="text1"/>
          <w:highlight w:val="none"/>
          <w:lang w:val="ru-RU"/>
          <w14:textFill>
            <w14:solidFill>
              <w14:schemeClr w14:val="tx1"/>
            </w14:solidFill>
          </w14:textFill>
        </w:rPr>
      </w:pPr>
      <w:r>
        <w:rPr>
          <w:color w:val="000000" w:themeColor="text1"/>
          <w:sz w:val="22"/>
          <w:highlight w:val="none"/>
          <w14:textFill>
            <w14:solidFill>
              <w14:schemeClr w14:val="tx1"/>
            </w14:solidFill>
          </w14:textFill>
        </w:rPr>
        <w:drawing>
          <wp:anchor distT="0" distB="0" distL="114300" distR="114300" simplePos="0" relativeHeight="251660288" behindDoc="1" locked="0" layoutInCell="1" allowOverlap="1">
            <wp:simplePos x="0" y="0"/>
            <wp:positionH relativeFrom="page">
              <wp:posOffset>5136515</wp:posOffset>
            </wp:positionH>
            <wp:positionV relativeFrom="page">
              <wp:posOffset>4687570</wp:posOffset>
            </wp:positionV>
            <wp:extent cx="734695" cy="8890"/>
            <wp:effectExtent l="0" t="0" r="0" b="0"/>
            <wp:wrapNone/>
            <wp:docPr id="3" name="图片 3" descr="ooxWord://wo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ooxWord://word/media/image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4695" cy="8890"/>
                    </a:xfrm>
                    <a:prstGeom prst="rect">
                      <a:avLst/>
                    </a:prstGeom>
                    <a:noFill/>
                  </pic:spPr>
                </pic:pic>
              </a:graphicData>
            </a:graphic>
          </wp:anchor>
        </w:drawing>
      </w:r>
      <w:r>
        <w:rPr>
          <w:color w:val="000000" w:themeColor="text1"/>
          <w:sz w:val="22"/>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4739005</wp:posOffset>
            </wp:positionH>
            <wp:positionV relativeFrom="page">
              <wp:posOffset>5281930</wp:posOffset>
            </wp:positionV>
            <wp:extent cx="1134110" cy="8890"/>
            <wp:effectExtent l="0" t="0" r="0" b="0"/>
            <wp:wrapNone/>
            <wp:docPr id="2" name="图片 2" descr="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oxWord://word/media/image4.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34110" cy="8890"/>
                    </a:xfrm>
                    <a:prstGeom prst="rect">
                      <a:avLst/>
                    </a:prstGeom>
                    <a:noFill/>
                  </pic:spPr>
                </pic:pic>
              </a:graphicData>
            </a:graphic>
          </wp:anchor>
        </w:drawing>
      </w:r>
      <w:r>
        <w:rPr>
          <w:rFonts w:ascii="DLRIFU+ËÎÌå" w:hAnsi="DLRIFU+ËÎÌå" w:cs="DLRIFU+ËÎÌå"/>
          <w:color w:val="000000" w:themeColor="text1"/>
          <w:highlight w:val="none"/>
          <w:lang w:val="ru-RU"/>
          <w14:textFill>
            <w14:solidFill>
              <w14:schemeClr w14:val="tx1"/>
            </w14:solidFill>
          </w14:textFill>
        </w:rPr>
        <w:t>联系</w:t>
      </w:r>
      <w:r>
        <w:rPr>
          <w:rFonts w:ascii="DLRIFU+ËÎÌå" w:hAnsi="DLRIFU+ËÎÌå" w:cs="DLRIFU+ËÎÌå"/>
          <w:color w:val="000000" w:themeColor="text1"/>
          <w:spacing w:val="-1"/>
          <w:highlight w:val="none"/>
          <w:lang w:val="ru-RU"/>
          <w14:textFill>
            <w14:solidFill>
              <w14:schemeClr w14:val="tx1"/>
            </w14:solidFill>
          </w14:textFill>
        </w:rPr>
        <w:t>人：</w:t>
      </w:r>
      <w:r>
        <w:rPr>
          <w:rFonts w:hint="eastAsia" w:ascii="DLRIFU+ËÎÌå" w:hAnsi="DLRIFU+ËÎÌå" w:cs="DLRIFU+ËÎÌå"/>
          <w:color w:val="000000" w:themeColor="text1"/>
          <w:spacing w:val="-1"/>
          <w:highlight w:val="none"/>
          <w:lang w:val="ru-RU"/>
          <w14:textFill>
            <w14:solidFill>
              <w14:schemeClr w14:val="tx1"/>
            </w14:solidFill>
          </w14:textFill>
        </w:rPr>
        <w:t>向</w:t>
      </w:r>
      <w:r>
        <w:rPr>
          <w:rFonts w:ascii="DLRIFU+ËÎÌå" w:hAnsi="DLRIFU+ËÎÌå" w:cs="DLRIFU+ËÎÌå"/>
          <w:color w:val="000000" w:themeColor="text1"/>
          <w:spacing w:val="-1"/>
          <w:highlight w:val="none"/>
          <w:lang w:val="ru-RU"/>
          <w14:textFill>
            <w14:solidFill>
              <w14:schemeClr w14:val="tx1"/>
            </w14:solidFill>
          </w14:textFill>
        </w:rPr>
        <w:t>老师</w:t>
      </w:r>
    </w:p>
    <w:p>
      <w:pPr>
        <w:widowControl/>
        <w:spacing w:before="247" w:line="440" w:lineRule="exact"/>
        <w:jc w:val="left"/>
        <w:rPr>
          <w:rFonts w:ascii="LJETLA+ËÎÌå"/>
          <w:color w:val="000000" w:themeColor="text1"/>
          <w:spacing w:val="-1"/>
          <w:highlight w:val="none"/>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电话：</w:t>
      </w:r>
      <w:r>
        <w:rPr>
          <w:rFonts w:ascii="LJETLA+ËÎÌå"/>
          <w:color w:val="000000" w:themeColor="text1"/>
          <w:spacing w:val="-1"/>
          <w:highlight w:val="none"/>
          <w:lang w:val="ru-RU"/>
          <w14:textFill>
            <w14:solidFill>
              <w14:schemeClr w14:val="tx1"/>
            </w14:solidFill>
          </w14:textFill>
        </w:rPr>
        <w:t>023-</w:t>
      </w:r>
      <w:r>
        <w:rPr>
          <w:rFonts w:hint="eastAsia" w:ascii="LJETLA+ËÎÌå"/>
          <w:color w:val="000000" w:themeColor="text1"/>
          <w:spacing w:val="-1"/>
          <w:highlight w:val="none"/>
          <w:lang w:val="ru-RU"/>
          <w14:textFill>
            <w14:solidFill>
              <w14:schemeClr w14:val="tx1"/>
            </w14:solidFill>
          </w14:textFill>
        </w:rPr>
        <w:t>63367</w:t>
      </w:r>
      <w:r>
        <w:rPr>
          <w:rFonts w:hint="eastAsia" w:ascii="LJETLA+ËÎÌå"/>
          <w:color w:val="000000" w:themeColor="text1"/>
          <w:spacing w:val="-1"/>
          <w:highlight w:val="none"/>
          <w14:textFill>
            <w14:solidFill>
              <w14:schemeClr w14:val="tx1"/>
            </w14:solidFill>
          </w14:textFill>
        </w:rPr>
        <w:t>309</w:t>
      </w:r>
    </w:p>
    <w:p>
      <w:pPr>
        <w:widowControl/>
        <w:spacing w:before="247" w:line="440" w:lineRule="exact"/>
        <w:jc w:val="left"/>
        <w:rPr>
          <w:rFonts w:ascii="LJETLA+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电子邮件：</w:t>
      </w:r>
      <w:r>
        <w:rPr>
          <w:rFonts w:ascii="LJETLA+ËÎÌå"/>
          <w:color w:val="000000" w:themeColor="text1"/>
          <w:highlight w:val="none"/>
          <w:lang w:val="ru-RU"/>
          <w14:textFill>
            <w14:solidFill>
              <w14:schemeClr w14:val="tx1"/>
            </w14:solidFill>
          </w14:textFill>
        </w:rPr>
        <w:t>/</w:t>
      </w:r>
    </w:p>
    <w:p>
      <w:pPr>
        <w:widowControl/>
        <w:spacing w:before="715"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招标代理机构：重庆招标采购（集团）有限责任公司</w:t>
      </w:r>
    </w:p>
    <w:p>
      <w:pPr>
        <w:widowControl/>
        <w:spacing w:before="247"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地址：</w:t>
      </w:r>
      <w:r>
        <w:rPr>
          <w:rFonts w:ascii="DLRIFU+ËÎÌå" w:hAnsi="DLRIFU+ËÎÌå" w:cs="DLRIFU+ËÎÌå"/>
          <w:color w:val="000000" w:themeColor="text1"/>
          <w:spacing w:val="-1"/>
          <w:highlight w:val="none"/>
          <w:lang w:val="ru-RU"/>
          <w14:textFill>
            <w14:solidFill>
              <w14:schemeClr w14:val="tx1"/>
            </w14:solidFill>
          </w14:textFill>
        </w:rPr>
        <w:t>重庆市江北区五简路</w:t>
      </w:r>
      <w:r>
        <w:rPr>
          <w:rFonts w:ascii="LJETLA+ËÎÌå"/>
          <w:color w:val="000000" w:themeColor="text1"/>
          <w:spacing w:val="53"/>
          <w:highlight w:val="none"/>
          <w:lang w:val="ru-RU"/>
          <w14:textFill>
            <w14:solidFill>
              <w14:schemeClr w14:val="tx1"/>
            </w14:solidFill>
          </w14:textFill>
        </w:rPr>
        <w:t>2</w:t>
      </w:r>
      <w:r>
        <w:rPr>
          <w:rFonts w:ascii="DLRIFU+ËÎÌå" w:hAnsi="DLRIFU+ËÎÌå" w:cs="DLRIFU+ËÎÌå"/>
          <w:color w:val="000000" w:themeColor="text1"/>
          <w:spacing w:val="-1"/>
          <w:highlight w:val="none"/>
          <w:lang w:val="ru-RU"/>
          <w14:textFill>
            <w14:solidFill>
              <w14:schemeClr w14:val="tx1"/>
            </w14:solidFill>
          </w14:textFill>
        </w:rPr>
        <w:t>号重庆咨询大厦</w:t>
      </w:r>
      <w:r>
        <w:rPr>
          <w:rFonts w:ascii="LJETLA+ËÎÌå"/>
          <w:color w:val="000000" w:themeColor="text1"/>
          <w:spacing w:val="50"/>
          <w:highlight w:val="none"/>
          <w:lang w:val="ru-RU"/>
          <w14:textFill>
            <w14:solidFill>
              <w14:schemeClr w14:val="tx1"/>
            </w14:solidFill>
          </w14:textFill>
        </w:rPr>
        <w:t>A</w:t>
      </w:r>
      <w:r>
        <w:rPr>
          <w:rFonts w:ascii="DLRIFU+ËÎÌå" w:hAnsi="DLRIFU+ËÎÌå" w:cs="DLRIFU+ËÎÌå"/>
          <w:color w:val="000000" w:themeColor="text1"/>
          <w:highlight w:val="none"/>
          <w:lang w:val="ru-RU"/>
          <w14:textFill>
            <w14:solidFill>
              <w14:schemeClr w14:val="tx1"/>
            </w14:solidFill>
          </w14:textFill>
        </w:rPr>
        <w:t>栋</w:t>
      </w:r>
      <w:r>
        <w:rPr>
          <w:rFonts w:ascii="LJETLA+ËÎÌå"/>
          <w:color w:val="000000" w:themeColor="text1"/>
          <w:spacing w:val="12"/>
          <w:highlight w:val="none"/>
          <w:lang w:val="ru-RU"/>
          <w14:textFill>
            <w14:solidFill>
              <w14:schemeClr w14:val="tx1"/>
            </w14:solidFill>
          </w14:textFill>
        </w:rPr>
        <w:t>1804</w:t>
      </w:r>
      <w:r>
        <w:rPr>
          <w:rFonts w:ascii="DLRIFU+ËÎÌå" w:hAnsi="DLRIFU+ËÎÌå" w:cs="DLRIFU+ËÎÌå"/>
          <w:color w:val="000000" w:themeColor="text1"/>
          <w:highlight w:val="none"/>
          <w:lang w:val="ru-RU"/>
          <w14:textFill>
            <w14:solidFill>
              <w14:schemeClr w14:val="tx1"/>
            </w14:solidFill>
          </w14:textFill>
        </w:rPr>
        <w:t>室</w:t>
      </w:r>
    </w:p>
    <w:p>
      <w:pPr>
        <w:widowControl/>
        <w:spacing w:before="247"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联系人：</w:t>
      </w:r>
      <w:r>
        <w:rPr>
          <w:rFonts w:ascii="DLRIFU+ËÎÌå" w:hAnsi="DLRIFU+ËÎÌå" w:cs="DLRIFU+ËÎÌå"/>
          <w:color w:val="000000" w:themeColor="text1"/>
          <w:spacing w:val="-1"/>
          <w:highlight w:val="none"/>
          <w:lang w:val="ru-RU"/>
          <w14:textFill>
            <w14:solidFill>
              <w14:schemeClr w14:val="tx1"/>
            </w14:solidFill>
          </w14:textFill>
        </w:rPr>
        <w:t>卢號东</w:t>
      </w:r>
    </w:p>
    <w:p>
      <w:pPr>
        <w:widowControl/>
        <w:spacing w:before="247" w:line="440" w:lineRule="exact"/>
        <w:jc w:val="left"/>
        <w:rPr>
          <w:rFonts w:ascii="LJETLA+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电话：</w:t>
      </w:r>
      <w:r>
        <w:rPr>
          <w:rFonts w:ascii="LJETLA+ËÎÌå"/>
          <w:color w:val="000000" w:themeColor="text1"/>
          <w:spacing w:val="-1"/>
          <w:highlight w:val="none"/>
          <w:lang w:val="ru-RU"/>
          <w14:textFill>
            <w14:solidFill>
              <w14:schemeClr w14:val="tx1"/>
            </w14:solidFill>
          </w14:textFill>
        </w:rPr>
        <w:t>023-67706443</w:t>
      </w:r>
    </w:p>
    <w:p>
      <w:pPr>
        <w:spacing w:line="440" w:lineRule="exact"/>
        <w:rPr>
          <w:rFonts w:ascii="Times New Roman" w:hAnsi="Times New Roman" w:eastAsia="宋体" w:cs="Times New Roman"/>
          <w:color w:val="000000" w:themeColor="text1"/>
          <w:kern w:val="0"/>
          <w:sz w:val="24"/>
          <w:szCs w:val="24"/>
          <w:highlight w:val="none"/>
          <w14:textFill>
            <w14:solidFill>
              <w14:schemeClr w14:val="tx1"/>
            </w14:solidFill>
          </w14:textFill>
        </w:rPr>
        <w:sectPr>
          <w:footerReference r:id="rId7" w:type="default"/>
          <w:pgSz w:w="11906" w:h="16838"/>
          <w:pgMar w:top="1440" w:right="1466" w:bottom="1276" w:left="1800" w:header="851" w:footer="992" w:gutter="0"/>
          <w:pgNumType w:start="1"/>
          <w:cols w:space="720" w:num="1"/>
          <w:docGrid w:type="linesAndChars" w:linePitch="312" w:charSpace="0"/>
        </w:sectPr>
      </w:pPr>
      <w:r>
        <w:rPr>
          <w:rFonts w:ascii="DLRIFU+ËÎÌå" w:hAnsi="DLRIFU+ËÎÌå" w:cs="DLRIFU+ËÎÌå"/>
          <w:color w:val="000000" w:themeColor="text1"/>
          <w:spacing w:val="-1"/>
          <w:highlight w:val="none"/>
          <w:lang w:val="ru-RU"/>
          <w14:textFill>
            <w14:solidFill>
              <w14:schemeClr w14:val="tx1"/>
            </w14:solidFill>
          </w14:textFill>
        </w:rPr>
        <w:t>电子邮件：</w:t>
      </w:r>
      <w:r>
        <w:rPr>
          <w:rFonts w:ascii="LJETLA+ËÎÌå"/>
          <w:color w:val="000000" w:themeColor="text1"/>
          <w:highlight w:val="none"/>
          <w:lang w:val="ru-RU"/>
          <w14:textFill>
            <w14:solidFill>
              <w14:schemeClr w14:val="tx1"/>
            </w14:solidFill>
          </w14:textFill>
        </w:rPr>
        <w:t>/</w:t>
      </w:r>
      <w:bookmarkEnd w:id="1"/>
      <w:r>
        <w:rPr>
          <w:rFonts w:ascii="Times New Roman" w:hAnsi="Times New Roman" w:eastAsia="宋体" w:cs="Times New Roman"/>
          <w:color w:val="000000" w:themeColor="text1"/>
          <w:kern w:val="0"/>
          <w:sz w:val="24"/>
          <w:szCs w:val="24"/>
          <w:highlight w:val="none"/>
          <w14:textFill>
            <w14:solidFill>
              <w14:schemeClr w14:val="tx1"/>
            </w14:solidFill>
          </w14:textFill>
        </w:rPr>
        <w:tab/>
      </w:r>
      <w:bookmarkEnd w:id="346"/>
    </w:p>
    <w:p>
      <w:pPr>
        <w:adjustRightInd w:val="0"/>
        <w:spacing w:line="400" w:lineRule="exact"/>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p>
    <w:p>
      <w:pPr>
        <w:rPr>
          <w:rFonts w:ascii="Times New Roman" w:hAnsi="Times New Roman" w:eastAsia="宋体" w:cs="Times New Roman"/>
          <w:color w:val="000000" w:themeColor="text1"/>
          <w:highlight w:val="none"/>
          <w14:textFill>
            <w14:solidFill>
              <w14:schemeClr w14:val="tx1"/>
            </w14:solidFill>
          </w14:textFill>
        </w:rPr>
      </w:pPr>
    </w:p>
    <w:p>
      <w:pPr>
        <w:keepNext/>
        <w:keepLines/>
        <w:spacing w:line="360" w:lineRule="auto"/>
        <w:ind w:firstLine="2420" w:firstLineChars="550"/>
        <w:outlineLvl w:val="0"/>
        <w:rPr>
          <w:rFonts w:ascii="Calibri" w:hAnsi="Calibri" w:eastAsia="黑体" w:cs="Times New Roman"/>
          <w:b/>
          <w:bCs/>
          <w:color w:val="000000" w:themeColor="text1"/>
          <w:kern w:val="44"/>
          <w:sz w:val="44"/>
          <w:szCs w:val="44"/>
          <w:highlight w:val="none"/>
          <w14:textFill>
            <w14:solidFill>
              <w14:schemeClr w14:val="tx1"/>
            </w14:solidFill>
          </w14:textFill>
        </w:rPr>
      </w:pPr>
      <w:bookmarkStart w:id="2" w:name="_Toc489972850"/>
      <w:r>
        <w:rPr>
          <w:rFonts w:ascii="Calibri" w:hAnsi="Calibri" w:eastAsia="黑体" w:cs="Times New Roman"/>
          <w:b/>
          <w:bCs/>
          <w:color w:val="000000" w:themeColor="text1"/>
          <w:kern w:val="44"/>
          <w:sz w:val="44"/>
          <w:szCs w:val="44"/>
          <w:highlight w:val="none"/>
          <w14:textFill>
            <w14:solidFill>
              <w14:schemeClr w14:val="tx1"/>
            </w14:solidFill>
          </w14:textFill>
        </w:rPr>
        <w:t>第二章投标人须知</w:t>
      </w:r>
      <w:bookmarkEnd w:id="2"/>
    </w:p>
    <w:p>
      <w:pPr>
        <w:keepNext/>
        <w:keepLines/>
        <w:numPr>
          <w:ilvl w:val="1"/>
          <w:numId w:val="0"/>
        </w:numPr>
        <w:tabs>
          <w:tab w:val="left" w:pos="708"/>
        </w:tabs>
        <w:snapToGrid w:val="0"/>
        <w:spacing w:before="156" w:after="156" w:line="400" w:lineRule="atLeast"/>
        <w:jc w:val="center"/>
        <w:outlineLvl w:val="1"/>
        <w:rPr>
          <w:rFonts w:ascii="Times New Roman" w:hAnsi="Times New Roman" w:eastAsia="宋体" w:cs="Times New Roman"/>
          <w:b/>
          <w:bCs/>
          <w:color w:val="000000" w:themeColor="text1"/>
          <w:kern w:val="0"/>
          <w:sz w:val="30"/>
          <w:szCs w:val="30"/>
          <w:highlight w:val="none"/>
          <w14:textFill>
            <w14:solidFill>
              <w14:schemeClr w14:val="tx1"/>
            </w14:solidFill>
          </w14:textFill>
        </w:rPr>
      </w:pPr>
      <w:bookmarkStart w:id="3" w:name="_Toc21528"/>
      <w:r>
        <w:rPr>
          <w:rFonts w:ascii="Times New Roman" w:hAnsi="Times New Roman" w:eastAsia="宋体" w:cs="Times New Roman"/>
          <w:b/>
          <w:bCs/>
          <w:color w:val="000000" w:themeColor="text1"/>
          <w:kern w:val="0"/>
          <w:sz w:val="30"/>
          <w:szCs w:val="30"/>
          <w:highlight w:val="none"/>
          <w14:textFill>
            <w14:solidFill>
              <w14:schemeClr w14:val="tx1"/>
            </w14:solidFill>
          </w14:textFill>
        </w:rPr>
        <w:t>第一节投标人须知前附表</w:t>
      </w:r>
      <w:bookmarkEnd w:id="3"/>
    </w:p>
    <w:p>
      <w:pPr>
        <w:spacing w:line="360" w:lineRule="auto"/>
        <w:jc w:val="left"/>
        <w:rPr>
          <w:rFonts w:ascii="Times New Roman" w:hAnsi="Times New Roman" w:eastAsia="宋体" w:cs="Times New Roman"/>
          <w:bCs/>
          <w:color w:val="000000" w:themeColor="text1"/>
          <w:kern w:val="0"/>
          <w:sz w:val="24"/>
          <w:szCs w:val="24"/>
          <w:highlight w:val="none"/>
          <w14:textFill>
            <w14:solidFill>
              <w14:schemeClr w14:val="tx1"/>
            </w14:solidFill>
          </w14:textFill>
        </w:rPr>
      </w:pPr>
      <w:r>
        <w:rPr>
          <w:rFonts w:ascii="Times New Roman" w:hAnsi="Times New Roman" w:eastAsia="宋体" w:cs="Times New Roman"/>
          <w:b/>
          <w:bCs/>
          <w:color w:val="000000" w:themeColor="text1"/>
          <w:kern w:val="0"/>
          <w:sz w:val="24"/>
          <w:szCs w:val="24"/>
          <w:highlight w:val="none"/>
          <w14:textFill>
            <w14:solidFill>
              <w14:schemeClr w14:val="tx1"/>
            </w14:solidFill>
          </w14:textFill>
        </w:rPr>
        <w:t>投标人须知前附表</w:t>
      </w:r>
      <w:r>
        <w:rPr>
          <w:rFonts w:ascii="Times New Roman" w:hAnsi="Times New Roman" w:eastAsia="宋体" w:cs="Times New Roman"/>
          <w:bCs/>
          <w:color w:val="000000" w:themeColor="text1"/>
          <w:kern w:val="0"/>
          <w:sz w:val="24"/>
          <w:szCs w:val="24"/>
          <w:highlight w:val="none"/>
          <w14:textFill>
            <w14:solidFill>
              <w14:schemeClr w14:val="tx1"/>
            </w14:solidFill>
          </w14:textFill>
        </w:rPr>
        <w:t>是对《投标人须知》所对应条款的具体补充和修改，如有不一致，应以本前附表为准。</w:t>
      </w:r>
    </w:p>
    <w:tbl>
      <w:tblPr>
        <w:tblStyle w:val="58"/>
        <w:tblW w:w="9869"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
        <w:gridCol w:w="42"/>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条款号</w:t>
            </w:r>
          </w:p>
        </w:tc>
        <w:tc>
          <w:tcPr>
            <w:tcW w:w="881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4"/>
            <w:vAlign w:val="center"/>
          </w:tcPr>
          <w:p>
            <w:pP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1.1</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招标人：重庆银行股份有限公司</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联系人：</w:t>
            </w:r>
            <w:r>
              <w:rPr>
                <w:rFonts w:hint="eastAsia" w:ascii="Times New Roman" w:hAnsi="Times New Roman" w:eastAsia="宋体" w:cs="Times New Roman"/>
                <w:color w:val="000000" w:themeColor="text1"/>
                <w:szCs w:val="21"/>
                <w:highlight w:val="none"/>
                <w14:textFill>
                  <w14:solidFill>
                    <w14:schemeClr w14:val="tx1"/>
                  </w14:solidFill>
                </w14:textFill>
              </w:rPr>
              <w:t>向老师</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联系电话：023-</w:t>
            </w:r>
            <w:r>
              <w:rPr>
                <w:rFonts w:hint="eastAsia" w:ascii="Times New Roman" w:hAnsi="Times New Roman" w:eastAsia="宋体" w:cs="Times New Roman"/>
                <w:color w:val="000000" w:themeColor="text1"/>
                <w:szCs w:val="21"/>
                <w:highlight w:val="none"/>
                <w14:textFill>
                  <w14:solidFill>
                    <w14:schemeClr w14:val="tx1"/>
                  </w14:solidFill>
                </w14:textFill>
              </w:rPr>
              <w:t>63367309</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联系地址：</w:t>
            </w:r>
            <w:r>
              <w:rPr>
                <w:rFonts w:hint="eastAsia" w:ascii="Times New Roman" w:hAnsi="Times New Roman" w:eastAsia="宋体" w:cs="Times New Roman"/>
                <w:color w:val="000000" w:themeColor="text1"/>
                <w:szCs w:val="21"/>
                <w:highlight w:val="none"/>
                <w14:textFill>
                  <w14:solidFill>
                    <w14:schemeClr w14:val="tx1"/>
                  </w14:solidFill>
                </w14:textFill>
              </w:rPr>
              <w:t>重庆市江北区江北城街道永平门街6号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1.2</w:t>
            </w:r>
          </w:p>
        </w:tc>
        <w:tc>
          <w:tcPr>
            <w:tcW w:w="8819" w:type="dxa"/>
            <w:gridSpan w:val="2"/>
            <w:vAlign w:val="center"/>
          </w:tcPr>
          <w:p>
            <w:pPr>
              <w:tabs>
                <w:tab w:val="left" w:pos="1050"/>
                <w:tab w:val="left" w:pos="1470"/>
              </w:tabs>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招标代理机构：重庆招标采购（集团）有限责任公司</w:t>
            </w:r>
          </w:p>
          <w:p>
            <w:pPr>
              <w:tabs>
                <w:tab w:val="left" w:pos="1050"/>
                <w:tab w:val="left" w:pos="1470"/>
              </w:tabs>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联系人：卢號东、</w:t>
            </w:r>
            <w:r>
              <w:rPr>
                <w:rFonts w:hint="eastAsia" w:ascii="Times New Roman" w:hAnsi="Times New Roman" w:eastAsia="宋体" w:cs="Times New Roman"/>
                <w:color w:val="000000" w:themeColor="text1"/>
                <w:szCs w:val="21"/>
                <w:highlight w:val="none"/>
                <w14:textFill>
                  <w14:solidFill>
                    <w14:schemeClr w14:val="tx1"/>
                  </w14:solidFill>
                </w14:textFill>
              </w:rPr>
              <w:t>杨欣</w:t>
            </w:r>
          </w:p>
          <w:p>
            <w:pPr>
              <w:tabs>
                <w:tab w:val="left" w:pos="1050"/>
                <w:tab w:val="left" w:pos="1470"/>
              </w:tabs>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电话：023-67706443</w:t>
            </w:r>
          </w:p>
          <w:p>
            <w:pPr>
              <w:tabs>
                <w:tab w:val="left" w:pos="1050"/>
                <w:tab w:val="left" w:pos="1470"/>
              </w:tabs>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传真：（023）67706443</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地址：重庆市江北区五简路2号重庆咨询大厦A栋1804室</w:t>
            </w:r>
            <w:r>
              <w:rPr>
                <w:rFonts w:ascii="Times New Roman" w:hAnsi="Times New Roman" w:eastAsia="宋体" w:cs="Times New Roman"/>
                <w:color w:val="000000" w:themeColor="text1"/>
                <w:szCs w:val="21"/>
                <w:highlight w:val="none"/>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1.3</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项目名称：</w:t>
            </w:r>
            <w:r>
              <w:rPr>
                <w:rFonts w:hint="eastAsia" w:ascii="DLRIFU+ËÎÌå" w:hAnsi="DLRIFU+ËÎÌå" w:cs="DLRIFU+ËÎÌå"/>
                <w:color w:val="000000" w:themeColor="text1"/>
                <w:spacing w:val="-1"/>
                <w:highlight w:val="none"/>
                <w:lang w:val="ru-RU"/>
                <w14:textFill>
                  <w14:solidFill>
                    <w14:schemeClr w14:val="tx1"/>
                  </w14:solidFill>
                </w14:textFill>
              </w:rPr>
              <w:t>重庆银行“监管统计报表系统”项目</w:t>
            </w:r>
          </w:p>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服务地点</w:t>
            </w:r>
            <w:r>
              <w:rPr>
                <w:rFonts w:ascii="Times New Roman" w:hAnsi="Times New Roman" w:eastAsia="宋体" w:cs="Times New Roman"/>
                <w:color w:val="000000" w:themeColor="text1"/>
                <w:szCs w:val="21"/>
                <w:highlight w:val="none"/>
                <w14:textFill>
                  <w14:solidFill>
                    <w14:schemeClr w14:val="tx1"/>
                  </w14:solidFill>
                </w14:textFill>
              </w:rPr>
              <w:t>：见本文件第一章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1.4</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1.5</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服务内容</w:t>
            </w:r>
            <w:r>
              <w:rPr>
                <w:rFonts w:ascii="Times New Roman" w:hAnsi="Times New Roman" w:eastAsia="宋体" w:cs="Times New Roman"/>
                <w:color w:val="000000" w:themeColor="text1"/>
                <w:szCs w:val="21"/>
                <w:highlight w:val="none"/>
                <w14:textFill>
                  <w14:solidFill>
                    <w14:schemeClr w14:val="tx1"/>
                  </w14:solidFill>
                </w14:textFill>
              </w:rPr>
              <w:t>：见本文件第一章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1.6</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服务期限</w:t>
            </w:r>
            <w:r>
              <w:rPr>
                <w:rFonts w:ascii="Times New Roman" w:hAnsi="Times New Roman" w:eastAsia="宋体" w:cs="Times New Roman"/>
                <w:color w:val="000000" w:themeColor="text1"/>
                <w:szCs w:val="21"/>
                <w:highlight w:val="none"/>
                <w14:textFill>
                  <w14:solidFill>
                    <w14:schemeClr w14:val="tx1"/>
                  </w14:solidFill>
                </w14:textFill>
              </w:rPr>
              <w:t>：见本文件第一章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1.7</w:t>
            </w:r>
          </w:p>
        </w:tc>
        <w:tc>
          <w:tcPr>
            <w:tcW w:w="8819" w:type="dxa"/>
            <w:gridSpan w:val="2"/>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付款方式：</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以转账方式支付，分次支付：</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1、合同签订后支付合同总金额的10%；</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2、人行大集中报表、银监非现场监管报表、利率报备、金融标准化完成并成功上线试运行后，支付合同总金额的20%；</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3、其他管理模块完成并成功上线试运行后，支付合同总金额的30%；</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4)</w:t>
            </w:r>
            <w:r>
              <w:rPr>
                <w:rFonts w:ascii="Times New Roman" w:hAnsi="Times New Roman" w:eastAsia="宋体" w:cs="Times New Roman"/>
                <w:color w:val="000000" w:themeColor="text1"/>
                <w:szCs w:val="21"/>
                <w:highlight w:val="non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整体项目通过最终验收（上线后3个月），支付合同总金额的30%；</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5）项目最终验收后免费维护一年期满的20个工作日内，支付合同约定系统实施费的10%（尾款）。</w:t>
            </w:r>
          </w:p>
          <w:p>
            <w:pPr>
              <w:tabs>
                <w:tab w:val="left" w:pos="1050"/>
                <w:tab w:val="left" w:pos="1470"/>
              </w:tabs>
              <w:rPr>
                <w:rFonts w:ascii="Times New Roman" w:hAnsi="Times New Roman" w:eastAsia="宋体" w:cs="Times New Roman"/>
                <w:b/>
                <w:color w:val="000000" w:themeColor="text1"/>
                <w:szCs w:val="2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14:textFill>
                  <w14:solidFill>
                    <w14:schemeClr w14:val="tx1"/>
                  </w14:solidFill>
                </w14:textFill>
              </w:rPr>
              <w:t>特别说明，每次付款前供应商须提供相应金额的可全额抵扣的增值税专用发票。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869" w:type="dxa"/>
            <w:gridSpan w:val="4"/>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二、投标人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2.6</w:t>
            </w:r>
          </w:p>
        </w:tc>
        <w:tc>
          <w:tcPr>
            <w:tcW w:w="8819" w:type="dxa"/>
            <w:gridSpan w:val="2"/>
            <w:vAlign w:val="center"/>
          </w:tcPr>
          <w:p>
            <w:pP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 xml:space="preserve">1. </w:t>
            </w:r>
            <w:r>
              <w:rPr>
                <w:rFonts w:ascii="Times New Roman" w:hAnsi="Times New Roman" w:eastAsia="宋体" w:cs="Times New Roman"/>
                <w:b/>
                <w:color w:val="000000" w:themeColor="text1"/>
                <w:szCs w:val="21"/>
                <w:highlight w:val="none"/>
                <w14:textFill>
                  <w14:solidFill>
                    <w14:schemeClr w14:val="tx1"/>
                  </w14:solidFill>
                </w14:textFill>
              </w:rPr>
              <w:t>本次招标实行资格后审，投标人应满足下列要求：</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见本文件第一章</w:t>
            </w:r>
            <w:r>
              <w:rPr>
                <w:rFonts w:hint="eastAsia" w:ascii="Times New Roman" w:hAnsi="Times New Roman" w:eastAsia="宋体" w:cs="Times New Roman"/>
                <w:color w:val="000000" w:themeColor="text1"/>
                <w:szCs w:val="21"/>
                <w:highlight w:val="none"/>
                <w14:textFill>
                  <w14:solidFill>
                    <w14:schemeClr w14:val="tx1"/>
                  </w14:solidFill>
                </w14:textFill>
              </w:rPr>
              <w:t>“三、投标人资格要求”</w:t>
            </w:r>
            <w:r>
              <w:rPr>
                <w:rFonts w:ascii="Times New Roman" w:hAnsi="Times New Roman" w:eastAsia="宋体"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2.7</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是否接受联合体投标：</w:t>
            </w:r>
            <w:r>
              <w:rPr>
                <w:rFonts w:ascii="Times New Roman" w:hAnsi="Times New Roman" w:eastAsia="宋体" w:cs="Times New Roman"/>
                <w:color w:val="000000" w:themeColor="text1"/>
                <w:szCs w:val="21"/>
                <w:highlight w:val="none"/>
                <w:u w:val="singl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9869" w:type="dxa"/>
            <w:gridSpan w:val="4"/>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三、招标文件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3"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5.2</w:t>
            </w:r>
          </w:p>
        </w:tc>
        <w:tc>
          <w:tcPr>
            <w:tcW w:w="8819" w:type="dxa"/>
            <w:gridSpan w:val="2"/>
          </w:tcPr>
          <w:p>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投标人在获取招标文件后，若对本招标文件有疑问，请将疑问以以下</w:t>
            </w:r>
            <w:r>
              <w:rPr>
                <w:rFonts w:hint="eastAsia" w:cs="宋体" w:asciiTheme="minorEastAsia" w:hAnsiTheme="minorEastAsia"/>
                <w:color w:val="000000" w:themeColor="text1"/>
                <w:kern w:val="0"/>
                <w:szCs w:val="21"/>
                <w:highlight w:val="none"/>
                <w14:textFill>
                  <w14:solidFill>
                    <w14:schemeClr w14:val="tx1"/>
                  </w14:solidFill>
                </w14:textFill>
              </w:rPr>
              <w:t>①或②</w:t>
            </w:r>
            <w:r>
              <w:rPr>
                <w:rFonts w:hint="eastAsia" w:ascii="宋体" w:hAnsi="宋体" w:cs="宋体"/>
                <w:color w:val="000000" w:themeColor="text1"/>
                <w:kern w:val="0"/>
                <w:szCs w:val="21"/>
                <w:highlight w:val="none"/>
                <w14:textFill>
                  <w14:solidFill>
                    <w14:schemeClr w14:val="tx1"/>
                  </w14:solidFill>
                </w14:textFill>
              </w:rPr>
              <w:t>方式提交</w:t>
            </w:r>
            <w:r>
              <w:rPr>
                <w:rFonts w:hint="eastAsia" w:ascii="Arial" w:hAnsi="Arial" w:cs="Arial"/>
                <w:color w:val="000000" w:themeColor="text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提问截止时间</w:t>
            </w:r>
            <w:r>
              <w:rPr>
                <w:rFonts w:ascii="宋体" w:hAnsi="宋体"/>
                <w:color w:val="000000" w:themeColor="text1"/>
                <w:szCs w:val="21"/>
                <w:highlight w:val="none"/>
                <w14:textFill>
                  <w14:solidFill>
                    <w14:schemeClr w14:val="tx1"/>
                  </w14:solidFill>
                </w14:textFill>
              </w:rPr>
              <w:t>2019</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 xml:space="preserve"> 月</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日 </w:t>
            </w:r>
            <w:r>
              <w:rPr>
                <w:rFonts w:hint="eastAsia" w:ascii="宋体" w:hAnsi="宋体"/>
                <w:color w:val="000000" w:themeColor="text1"/>
                <w:szCs w:val="21"/>
                <w:highlight w:val="none"/>
                <w:lang w:val="en-US" w:eastAsia="zh-CN"/>
                <w14:textFill>
                  <w14:solidFill>
                    <w14:schemeClr w14:val="tx1"/>
                  </w14:solidFill>
                </w14:textFill>
              </w:rPr>
              <w:t>09</w:t>
            </w:r>
            <w:r>
              <w:rPr>
                <w:rFonts w:hint="eastAsia" w:ascii="宋体" w:hAnsi="宋体"/>
                <w:color w:val="000000" w:themeColor="text1"/>
                <w:szCs w:val="21"/>
                <w:highlight w:val="none"/>
                <w14:textFill>
                  <w14:solidFill>
                    <w14:schemeClr w14:val="tx1"/>
                  </w14:solidFill>
                </w14:textFill>
              </w:rPr>
              <w:t xml:space="preserve"> 时</w:t>
            </w:r>
            <w:r>
              <w:rPr>
                <w:rFonts w:ascii="宋体"/>
                <w:color w:val="000000" w:themeColor="text1"/>
                <w:szCs w:val="21"/>
                <w:highlight w:val="none"/>
                <w14:textFill>
                  <w14:solidFill>
                    <w14:schemeClr w14:val="tx1"/>
                  </w14:solidFill>
                </w14:textFill>
              </w:rPr>
              <w:t>00</w:t>
            </w:r>
            <w:r>
              <w:rPr>
                <w:rFonts w:hint="eastAsia" w:ascii="宋体" w:hAnsi="宋体"/>
                <w:color w:val="000000" w:themeColor="text1"/>
                <w:szCs w:val="21"/>
                <w:highlight w:val="none"/>
                <w14:textFill>
                  <w14:solidFill>
                    <w14:schemeClr w14:val="tx1"/>
                  </w14:solidFill>
                </w14:textFill>
              </w:rPr>
              <w:t>分</w:t>
            </w:r>
            <w:r>
              <w:rPr>
                <w:rFonts w:hint="eastAsia" w:ascii="宋体" w:hAnsi="宋体" w:cs="宋体"/>
                <w:color w:val="000000" w:themeColor="text1"/>
                <w:kern w:val="0"/>
                <w:szCs w:val="21"/>
                <w:highlight w:val="none"/>
                <w14:textFill>
                  <w14:solidFill>
                    <w14:schemeClr w14:val="tx1"/>
                  </w14:solidFill>
                </w14:textFill>
              </w:rPr>
              <w:t>：</w:t>
            </w:r>
          </w:p>
          <w:p>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①将纸质版疑问文件（须加盖投标单位公章）</w:t>
            </w:r>
            <w:r>
              <w:rPr>
                <w:rFonts w:hint="eastAsia" w:ascii="宋体" w:hAnsi="宋体" w:cs="宋体"/>
                <w:color w:val="000000" w:themeColor="text1"/>
                <w:kern w:val="0"/>
                <w:szCs w:val="21"/>
                <w:highlight w:val="none"/>
                <w14:textFill>
                  <w14:solidFill>
                    <w14:schemeClr w14:val="tx1"/>
                  </w14:solidFill>
                </w14:textFill>
              </w:rPr>
              <w:t>递交至招标代理机构</w:t>
            </w:r>
            <w:r>
              <w:rPr>
                <w:rFonts w:hint="eastAsia" w:ascii="宋体" w:hAnsi="宋体"/>
                <w:color w:val="000000" w:themeColor="text1"/>
                <w:szCs w:val="21"/>
                <w:highlight w:val="none"/>
                <w14:textFill>
                  <w14:solidFill>
                    <w14:schemeClr w14:val="tx1"/>
                  </w14:solidFill>
                </w14:textFill>
              </w:rPr>
              <w:t>（疑问提交时间以招标代理机构收到的时间为准）</w:t>
            </w:r>
            <w:r>
              <w:rPr>
                <w:rFonts w:hint="eastAsia" w:ascii="宋体" w:hAnsi="宋体" w:cs="宋体"/>
                <w:color w:val="000000" w:themeColor="text1"/>
                <w:kern w:val="0"/>
                <w:szCs w:val="21"/>
                <w:highlight w:val="none"/>
                <w14:textFill>
                  <w14:solidFill>
                    <w14:schemeClr w14:val="tx1"/>
                  </w14:solidFill>
                </w14:textFill>
              </w:rPr>
              <w:t>；</w:t>
            </w: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②</w:t>
            </w:r>
            <w:r>
              <w:rPr>
                <w:rFonts w:hint="eastAsia" w:ascii="宋体" w:hAnsi="宋体" w:cs="宋体"/>
                <w:color w:val="000000" w:themeColor="text1"/>
                <w:kern w:val="0"/>
                <w:szCs w:val="21"/>
                <w:highlight w:val="none"/>
                <w14:textFill>
                  <w14:solidFill>
                    <w14:schemeClr w14:val="tx1"/>
                  </w14:solidFill>
                </w14:textFill>
              </w:rPr>
              <w:t>将</w:t>
            </w:r>
            <w:r>
              <w:rPr>
                <w:rFonts w:hint="eastAsia" w:cs="宋体" w:asciiTheme="minorEastAsia" w:hAnsiTheme="minorEastAsia"/>
                <w:color w:val="000000" w:themeColor="text1"/>
                <w:kern w:val="0"/>
                <w:szCs w:val="21"/>
                <w:highlight w:val="none"/>
                <w14:textFill>
                  <w14:solidFill>
                    <w14:schemeClr w14:val="tx1"/>
                  </w14:solidFill>
                </w14:textFill>
              </w:rPr>
              <w:t>疑问文件</w:t>
            </w:r>
            <w:r>
              <w:rPr>
                <w:rFonts w:hint="eastAsia" w:ascii="宋体" w:hAnsi="宋体" w:cs="宋体"/>
                <w:color w:val="000000" w:themeColor="text1"/>
                <w:kern w:val="0"/>
                <w:szCs w:val="21"/>
                <w:highlight w:val="none"/>
                <w14:textFill>
                  <w14:solidFill>
                    <w14:schemeClr w14:val="tx1"/>
                  </w14:solidFill>
                </w14:textFill>
              </w:rPr>
              <w:t>（须加盖投标单位公章）的扫描件和疑问文件（word版）以邮件形式发送至招标代理机构指定邮箱</w:t>
            </w:r>
            <w:r>
              <w:rPr>
                <w:rFonts w:hint="eastAsia" w:ascii="Arial" w:hAnsi="Arial" w:cs="Arial"/>
                <w:b/>
                <w:color w:val="000000" w:themeColor="text1"/>
                <w:sz w:val="20"/>
                <w:highlight w:val="none"/>
                <w:u w:val="single"/>
                <w14:textFill>
                  <w14:solidFill>
                    <w14:schemeClr w14:val="tx1"/>
                  </w14:solidFill>
                </w14:textFill>
              </w:rPr>
              <w:t>1345407916@qq.com</w:t>
            </w:r>
            <w:r>
              <w:rPr>
                <w:rFonts w:hint="eastAsia" w:ascii="宋体" w:hAnsi="宋体"/>
                <w:color w:val="000000" w:themeColor="text1"/>
                <w:szCs w:val="21"/>
                <w:highlight w:val="none"/>
                <w14:textFill>
                  <w14:solidFill>
                    <w14:schemeClr w14:val="tx1"/>
                  </w14:solidFill>
                </w14:textFill>
              </w:rPr>
              <w:t>（疑问提交时间以招标代理机构收到邮件的时间为准）。同时，投标人须在发送疑问文件邮件之日起，在7个工作日内，将纸质版</w:t>
            </w:r>
            <w:r>
              <w:rPr>
                <w:rFonts w:hint="eastAsia" w:ascii="宋体" w:hAnsi="宋体" w:cs="宋体"/>
                <w:color w:val="000000" w:themeColor="text1"/>
                <w:kern w:val="0"/>
                <w:szCs w:val="21"/>
                <w:highlight w:val="none"/>
                <w14:textFill>
                  <w14:solidFill>
                    <w14:schemeClr w14:val="tx1"/>
                  </w14:solidFill>
                </w14:textFill>
              </w:rPr>
              <w:t>疑问文件（须</w:t>
            </w:r>
            <w:r>
              <w:rPr>
                <w:rFonts w:hint="eastAsia" w:ascii="宋体" w:hAnsi="宋体"/>
                <w:color w:val="000000" w:themeColor="text1"/>
                <w:szCs w:val="21"/>
                <w:highlight w:val="none"/>
                <w14:textFill>
                  <w14:solidFill>
                    <w14:schemeClr w14:val="tx1"/>
                  </w14:solidFill>
                </w14:textFill>
              </w:rPr>
              <w:t>加盖投标单位公章</w:t>
            </w:r>
            <w:r>
              <w:rPr>
                <w:rFonts w:hint="eastAsia" w:ascii="宋体" w:hAnsi="宋体" w:cs="宋体"/>
                <w:color w:val="000000" w:themeColor="text1"/>
                <w:kern w:val="0"/>
                <w:szCs w:val="21"/>
                <w:highlight w:val="none"/>
                <w14:textFill>
                  <w14:solidFill>
                    <w14:schemeClr w14:val="tx1"/>
                  </w14:solidFill>
                </w14:textFill>
              </w:rPr>
              <w:t>）送至或寄至招标代理机构，地址详见招标公告“九、联系方式”。</w:t>
            </w: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注：1）疑问内容以加盖投标单位公章的为准。</w:t>
            </w:r>
          </w:p>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2）若投标人在提问截止时间前未按以上</w:t>
            </w:r>
            <w:r>
              <w:rPr>
                <w:rFonts w:hint="eastAsia" w:cs="宋体" w:asciiTheme="minorEastAsia" w:hAnsiTheme="minorEastAsia"/>
                <w:color w:val="000000" w:themeColor="text1"/>
                <w:kern w:val="0"/>
                <w:szCs w:val="21"/>
                <w:highlight w:val="none"/>
                <w14:textFill>
                  <w14:solidFill>
                    <w14:schemeClr w14:val="tx1"/>
                  </w14:solidFill>
                </w14:textFill>
              </w:rPr>
              <w:t>①或②</w:t>
            </w:r>
            <w:r>
              <w:rPr>
                <w:rFonts w:hint="eastAsia" w:ascii="宋体" w:hAnsi="宋体" w:cs="宋体"/>
                <w:color w:val="000000" w:themeColor="text1"/>
                <w:kern w:val="0"/>
                <w:szCs w:val="21"/>
                <w:highlight w:val="none"/>
                <w14:textFill>
                  <w14:solidFill>
                    <w14:schemeClr w14:val="tx1"/>
                  </w14:solidFill>
                </w14:textFill>
              </w:rPr>
              <w:t>方式提交疑问文件，</w:t>
            </w:r>
            <w:r>
              <w:rPr>
                <w:rFonts w:hint="eastAsia" w:ascii="宋体" w:hAnsi="宋体"/>
                <w:color w:val="000000" w:themeColor="text1"/>
                <w:szCs w:val="21"/>
                <w:highlight w:val="none"/>
                <w14:textFill>
                  <w14:solidFill>
                    <w14:schemeClr w14:val="tx1"/>
                  </w14:solidFill>
                </w14:textFill>
              </w:rPr>
              <w:t>招标人及招标代理机构有权不予受理该投标人疑问文件。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5.4</w:t>
            </w:r>
          </w:p>
        </w:tc>
        <w:tc>
          <w:tcPr>
            <w:tcW w:w="8819" w:type="dxa"/>
            <w:gridSpan w:val="2"/>
          </w:tcPr>
          <w:p>
            <w:pPr>
              <w:spacing w:line="400" w:lineRule="exact"/>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 xml:space="preserve">1.招标人在认为有必要对投标人所提问题进行澄清或修改时，应于2019年 </w:t>
            </w:r>
            <w:r>
              <w:rPr>
                <w:rFonts w:hint="eastAsia" w:cs="Times New Roman" w:asciiTheme="minorEastAsia" w:hAnsiTheme="minorEastAsia"/>
                <w:color w:val="000000" w:themeColor="text1"/>
                <w:szCs w:val="21"/>
                <w:highlight w:val="none"/>
                <w:lang w:val="en-US" w:eastAsia="zh-CN"/>
                <w14:textFill>
                  <w14:solidFill>
                    <w14:schemeClr w14:val="tx1"/>
                  </w14:solidFill>
                </w14:textFill>
              </w:rPr>
              <w:t>6</w:t>
            </w:r>
            <w:r>
              <w:rPr>
                <w:rFonts w:hint="eastAsia" w:cs="Times New Roman" w:asciiTheme="minorEastAsia" w:hAnsiTheme="minorEastAsia"/>
                <w:color w:val="000000" w:themeColor="text1"/>
                <w:szCs w:val="21"/>
                <w:highlight w:val="none"/>
                <w14:textFill>
                  <w14:solidFill>
                    <w14:schemeClr w14:val="tx1"/>
                  </w14:solidFill>
                </w14:textFill>
              </w:rPr>
              <w:t xml:space="preserve">  月  </w:t>
            </w:r>
            <w:r>
              <w:rPr>
                <w:rFonts w:hint="eastAsia" w:cs="Times New Roman" w:asciiTheme="minorEastAsia" w:hAnsiTheme="minorEastAsia"/>
                <w:color w:val="000000" w:themeColor="text1"/>
                <w:szCs w:val="21"/>
                <w:highlight w:val="none"/>
                <w:lang w:val="en-US" w:eastAsia="zh-CN"/>
                <w14:textFill>
                  <w14:solidFill>
                    <w14:schemeClr w14:val="tx1"/>
                  </w14:solidFill>
                </w14:textFill>
              </w:rPr>
              <w:t>6</w:t>
            </w:r>
            <w:r>
              <w:rPr>
                <w:rFonts w:hint="eastAsia" w:cs="Times New Roman" w:asciiTheme="minorEastAsia" w:hAnsiTheme="minorEastAsia"/>
                <w:color w:val="000000" w:themeColor="text1"/>
                <w:szCs w:val="21"/>
                <w:highlight w:val="none"/>
                <w14:textFill>
                  <w14:solidFill>
                    <w14:schemeClr w14:val="tx1"/>
                  </w14:solidFill>
                </w14:textFill>
              </w:rPr>
              <w:t xml:space="preserve">  日</w:t>
            </w:r>
            <w:r>
              <w:rPr>
                <w:rFonts w:hint="eastAsia" w:cs="Times New Roman" w:asciiTheme="minorEastAsia" w:hAnsiTheme="minorEastAsia"/>
                <w:color w:val="000000" w:themeColor="text1"/>
                <w:szCs w:val="21"/>
                <w:highlight w:val="none"/>
                <w:lang w:val="en-US" w:eastAsia="zh-CN"/>
                <w14:textFill>
                  <w14:solidFill>
                    <w14:schemeClr w14:val="tx1"/>
                  </w14:solidFill>
                </w14:textFill>
              </w:rPr>
              <w:t>18</w:t>
            </w:r>
            <w:r>
              <w:rPr>
                <w:rFonts w:hint="eastAsia" w:cs="Times New Roman" w:asciiTheme="minorEastAsia" w:hAnsiTheme="minorEastAsia"/>
                <w:color w:val="000000" w:themeColor="text1"/>
                <w:szCs w:val="21"/>
                <w:highlight w:val="none"/>
                <w14:textFill>
                  <w14:solidFill>
                    <w14:schemeClr w14:val="tx1"/>
                  </w14:solidFill>
                </w14:textFill>
              </w:rPr>
              <w:t xml:space="preserve">  时00分前，将澄清或者修改内容</w:t>
            </w:r>
            <w:r>
              <w:rPr>
                <w:rFonts w:cs="Times New Roman" w:asciiTheme="minorEastAsia" w:hAnsiTheme="minorEastAsia"/>
                <w:color w:val="000000" w:themeColor="text1"/>
                <w:szCs w:val="21"/>
                <w:highlight w:val="none"/>
                <w14:textFill>
                  <w14:solidFill>
                    <w14:schemeClr w14:val="tx1"/>
                  </w14:solidFill>
                </w14:textFill>
              </w:rPr>
              <w:t>在</w:t>
            </w:r>
            <w:r>
              <w:rPr>
                <w:rFonts w:hint="eastAsia" w:cs="Times New Roman" w:asciiTheme="minorEastAsia" w:hAnsiTheme="minorEastAsia"/>
                <w:color w:val="000000" w:themeColor="text1"/>
                <w:szCs w:val="21"/>
                <w:highlight w:val="none"/>
                <w:u w:val="single"/>
                <w14:textFill>
                  <w14:solidFill>
                    <w14:schemeClr w14:val="tx1"/>
                  </w14:solidFill>
                </w14:textFill>
              </w:rPr>
              <w:t>《重庆国际投资咨询集团网》（www.cqiic.com）</w:t>
            </w:r>
            <w:r>
              <w:rPr>
                <w:rFonts w:cs="Times New Roman" w:asciiTheme="minorEastAsia" w:hAnsiTheme="minorEastAsia"/>
                <w:color w:val="000000" w:themeColor="text1"/>
                <w:szCs w:val="21"/>
                <w:highlight w:val="none"/>
                <w14:textFill>
                  <w14:solidFill>
                    <w14:schemeClr w14:val="tx1"/>
                  </w14:solidFill>
                </w14:textFill>
              </w:rPr>
              <w:t>发出</w:t>
            </w:r>
            <w:r>
              <w:rPr>
                <w:rFonts w:hint="eastAsia" w:ascii="Times New Roman" w:hAnsi="Times New Roman"/>
                <w:color w:val="000000" w:themeColor="text1"/>
                <w:szCs w:val="21"/>
                <w:highlight w:val="none"/>
                <w14:textFill>
                  <w14:solidFill>
                    <w14:schemeClr w14:val="tx1"/>
                  </w14:solidFill>
                </w14:textFill>
              </w:rPr>
              <w:t>，并将澄清或者修改内容作为招标文件的补充部分。</w:t>
            </w:r>
          </w:p>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 xml:space="preserve"> 无论投标人是否</w:t>
            </w:r>
            <w:r>
              <w:rPr>
                <w:rFonts w:hint="eastAsia" w:ascii="Times New Roman" w:hAnsi="Times New Roman"/>
                <w:color w:val="000000" w:themeColor="text1"/>
                <w:szCs w:val="21"/>
                <w:highlight w:val="none"/>
                <w14:textFill>
                  <w14:solidFill>
                    <w14:schemeClr w14:val="tx1"/>
                  </w14:solidFill>
                </w14:textFill>
              </w:rPr>
              <w:t>在</w:t>
            </w:r>
            <w:r>
              <w:rPr>
                <w:rFonts w:hint="eastAsia" w:cs="Times New Roman" w:asciiTheme="minorEastAsia" w:hAnsiTheme="minorEastAsia"/>
                <w:color w:val="000000" w:themeColor="text1"/>
                <w:szCs w:val="21"/>
                <w:highlight w:val="none"/>
                <w:u w:val="single"/>
                <w14:textFill>
                  <w14:solidFill>
                    <w14:schemeClr w14:val="tx1"/>
                  </w14:solidFill>
                </w14:textFill>
              </w:rPr>
              <w:t>《重庆国际投资咨询集团网》（www.cqiic.com）</w:t>
            </w:r>
            <w:r>
              <w:rPr>
                <w:rFonts w:hint="eastAsia" w:cs="Times New Roman" w:asciiTheme="minorEastAsia" w:hAnsiTheme="minorEastAsia"/>
                <w:color w:val="000000" w:themeColor="text1"/>
                <w:szCs w:val="21"/>
                <w:highlight w:val="none"/>
                <w14:textFill>
                  <w14:solidFill>
                    <w14:schemeClr w14:val="tx1"/>
                  </w14:solidFill>
                </w14:textFill>
              </w:rPr>
              <w:t>网上下载招标文件或澄清或修改内容，</w:t>
            </w:r>
            <w:r>
              <w:rPr>
                <w:rFonts w:ascii="Times New Roman" w:hAnsi="Times New Roman"/>
                <w:color w:val="000000" w:themeColor="text1"/>
                <w:szCs w:val="21"/>
                <w:highlight w:val="none"/>
                <w14:textFill>
                  <w14:solidFill>
                    <w14:schemeClr w14:val="tx1"/>
                  </w14:solidFill>
                </w14:textFill>
              </w:rPr>
              <w:t>招标人和招标机构均视为投标人已知晓招标文件全部澄清或修改内容，由此产生的一切后果均由投标人自己负责</w:t>
            </w:r>
            <w:r>
              <w:rPr>
                <w:rFonts w:cs="Times New Roman" w:asciiTheme="minorEastAsia" w:hAnsi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6.1</w:t>
            </w:r>
          </w:p>
        </w:tc>
        <w:tc>
          <w:tcPr>
            <w:tcW w:w="8819" w:type="dxa"/>
            <w:gridSpan w:val="2"/>
          </w:tcPr>
          <w:p>
            <w:pPr>
              <w:spacing w:line="400" w:lineRule="exact"/>
              <w:rPr>
                <w:rFonts w:cs="Times New Roman" w:asciiTheme="minorEastAsia" w:hAnsiTheme="minorEastAsia"/>
                <w:color w:val="000000" w:themeColor="text1"/>
                <w:szCs w:val="21"/>
                <w:highlight w:val="none"/>
                <w14:textFill>
                  <w14:solidFill>
                    <w14:schemeClr w14:val="tx1"/>
                  </w14:solidFill>
                </w14:textFill>
              </w:rPr>
            </w:pPr>
            <w:r>
              <w:rPr>
                <w:rFonts w:cs="Times New Roman" w:asciiTheme="minorEastAsia" w:hAnsiTheme="minorEastAsia"/>
                <w:color w:val="000000" w:themeColor="text1"/>
                <w:szCs w:val="21"/>
                <w:highlight w:val="none"/>
                <w14:textFill>
                  <w14:solidFill>
                    <w14:schemeClr w14:val="tx1"/>
                  </w14:solidFill>
                </w14:textFill>
              </w:rPr>
              <w:t>1、招标人认为有必要，可以对已发出的招标文件主动进行澄清或者修改，应于</w:t>
            </w:r>
            <w:r>
              <w:rPr>
                <w:rFonts w:cs="Times New Roman" w:asciiTheme="minorEastAsia" w:hAnsiTheme="minorEastAsia"/>
                <w:color w:val="000000" w:themeColor="text1"/>
                <w:szCs w:val="21"/>
                <w:highlight w:val="none"/>
                <w:u w:val="single"/>
                <w14:textFill>
                  <w14:solidFill>
                    <w14:schemeClr w14:val="tx1"/>
                  </w14:solidFill>
                </w14:textFill>
              </w:rPr>
              <w:t>201</w:t>
            </w:r>
            <w:r>
              <w:rPr>
                <w:rFonts w:hint="eastAsia" w:cs="Times New Roman" w:asciiTheme="minorEastAsia" w:hAnsiTheme="minorEastAsia"/>
                <w:color w:val="000000" w:themeColor="text1"/>
                <w:szCs w:val="21"/>
                <w:highlight w:val="none"/>
                <w:u w:val="single"/>
                <w14:textFill>
                  <w14:solidFill>
                    <w14:schemeClr w14:val="tx1"/>
                  </w14:solidFill>
                </w14:textFill>
              </w:rPr>
              <w:t>9</w:t>
            </w:r>
            <w:r>
              <w:rPr>
                <w:rFonts w:cs="Times New Roman" w:asciiTheme="minorEastAsia" w:hAnsiTheme="minorEastAsia"/>
                <w:color w:val="000000" w:themeColor="text1"/>
                <w:szCs w:val="21"/>
                <w:highlight w:val="none"/>
                <w:u w:val="single"/>
                <w14:textFill>
                  <w14:solidFill>
                    <w14:schemeClr w14:val="tx1"/>
                  </w14:solidFill>
                </w14:textFill>
              </w:rPr>
              <w:t>年</w:t>
            </w:r>
            <w:r>
              <w:rPr>
                <w:rFonts w:hint="eastAsia" w:cs="Times New Roman" w:asciiTheme="minorEastAsia" w:hAnsiTheme="minorEastAsia"/>
                <w:color w:val="000000" w:themeColor="text1"/>
                <w:szCs w:val="21"/>
                <w:highlight w:val="none"/>
                <w:u w:val="single"/>
                <w:lang w:val="en-US" w:eastAsia="zh-CN"/>
                <w14:textFill>
                  <w14:solidFill>
                    <w14:schemeClr w14:val="tx1"/>
                  </w14:solidFill>
                </w14:textFill>
              </w:rPr>
              <w:t>6</w:t>
            </w:r>
            <w:r>
              <w:rPr>
                <w:rFonts w:cs="Times New Roman" w:asciiTheme="minorEastAsia" w:hAnsiTheme="minorEastAsia"/>
                <w:color w:val="000000" w:themeColor="text1"/>
                <w:szCs w:val="21"/>
                <w:highlight w:val="none"/>
                <w:u w:val="single"/>
                <w14:textFill>
                  <w14:solidFill>
                    <w14:schemeClr w14:val="tx1"/>
                  </w14:solidFill>
                </w14:textFill>
              </w:rPr>
              <w:t>月</w:t>
            </w:r>
            <w:r>
              <w:rPr>
                <w:rFonts w:hint="eastAsia" w:cs="Times New Roman" w:asciiTheme="minorEastAsia" w:hAnsiTheme="minorEastAsia"/>
                <w:color w:val="000000" w:themeColor="text1"/>
                <w:szCs w:val="21"/>
                <w:highlight w:val="none"/>
                <w:u w:val="single"/>
                <w:lang w:val="en-US" w:eastAsia="zh-CN"/>
                <w14:textFill>
                  <w14:solidFill>
                    <w14:schemeClr w14:val="tx1"/>
                  </w14:solidFill>
                </w14:textFill>
              </w:rPr>
              <w:t>6</w:t>
            </w:r>
            <w:r>
              <w:rPr>
                <w:rFonts w:cs="Times New Roman" w:asciiTheme="minorEastAsia" w:hAnsiTheme="minorEastAsia"/>
                <w:color w:val="000000" w:themeColor="text1"/>
                <w:szCs w:val="21"/>
                <w:highlight w:val="none"/>
                <w:u w:val="single"/>
                <w14:textFill>
                  <w14:solidFill>
                    <w14:schemeClr w14:val="tx1"/>
                  </w14:solidFill>
                </w14:textFill>
              </w:rPr>
              <w:t>日</w:t>
            </w:r>
            <w:r>
              <w:rPr>
                <w:rFonts w:hint="eastAsia" w:cs="Times New Roman" w:asciiTheme="minorEastAsia" w:hAnsiTheme="minorEastAsia"/>
                <w:color w:val="000000" w:themeColor="text1"/>
                <w:szCs w:val="21"/>
                <w:highlight w:val="none"/>
                <w:u w:val="single"/>
                <w:lang w:val="en-US" w:eastAsia="zh-CN"/>
                <w14:textFill>
                  <w14:solidFill>
                    <w14:schemeClr w14:val="tx1"/>
                  </w14:solidFill>
                </w14:textFill>
              </w:rPr>
              <w:t>18</w:t>
            </w:r>
            <w:r>
              <w:rPr>
                <w:rFonts w:cs="Times New Roman" w:asciiTheme="minorEastAsia" w:hAnsiTheme="minorEastAsia"/>
                <w:color w:val="000000" w:themeColor="text1"/>
                <w:szCs w:val="21"/>
                <w:highlight w:val="none"/>
                <w:u w:val="single"/>
                <w14:textFill>
                  <w14:solidFill>
                    <w14:schemeClr w14:val="tx1"/>
                  </w14:solidFill>
                </w14:textFill>
              </w:rPr>
              <w:t>时</w:t>
            </w:r>
            <w:r>
              <w:rPr>
                <w:rFonts w:hint="eastAsia" w:cs="Times New Roman" w:asciiTheme="minorEastAsia" w:hAnsiTheme="minorEastAsia"/>
                <w:color w:val="000000" w:themeColor="text1"/>
                <w:szCs w:val="21"/>
                <w:highlight w:val="none"/>
                <w:u w:val="single"/>
                <w:lang w:val="en-US" w:eastAsia="zh-CN"/>
                <w14:textFill>
                  <w14:solidFill>
                    <w14:schemeClr w14:val="tx1"/>
                  </w14:solidFill>
                </w14:textFill>
              </w:rPr>
              <w:t>00</w:t>
            </w:r>
            <w:r>
              <w:rPr>
                <w:rFonts w:cs="Times New Roman" w:asciiTheme="minorEastAsia" w:hAnsiTheme="minorEastAsia"/>
                <w:color w:val="000000" w:themeColor="text1"/>
                <w:szCs w:val="21"/>
                <w:highlight w:val="none"/>
                <w:u w:val="single"/>
                <w14:textFill>
                  <w14:solidFill>
                    <w14:schemeClr w14:val="tx1"/>
                  </w14:solidFill>
                </w14:textFill>
              </w:rPr>
              <w:t>分</w:t>
            </w:r>
            <w:r>
              <w:rPr>
                <w:rFonts w:cs="Times New Roman" w:asciiTheme="minorEastAsia" w:hAnsiTheme="minorEastAsia"/>
                <w:color w:val="000000" w:themeColor="text1"/>
                <w:szCs w:val="21"/>
                <w:highlight w:val="none"/>
                <w14:textFill>
                  <w14:solidFill>
                    <w14:schemeClr w14:val="tx1"/>
                  </w14:solidFill>
                </w14:textFill>
              </w:rPr>
              <w:t>前，</w:t>
            </w:r>
            <w:r>
              <w:rPr>
                <w:rFonts w:hint="eastAsia" w:cs="Times New Roman" w:asciiTheme="minorEastAsia" w:hAnsiTheme="minorEastAsia"/>
                <w:color w:val="000000" w:themeColor="text1"/>
                <w:szCs w:val="21"/>
                <w:highlight w:val="none"/>
                <w14:textFill>
                  <w14:solidFill>
                    <w14:schemeClr w14:val="tx1"/>
                  </w14:solidFill>
                </w14:textFill>
              </w:rPr>
              <w:t>将澄清或者修改内容在</w:t>
            </w:r>
            <w:r>
              <w:rPr>
                <w:rFonts w:hint="eastAsia" w:cs="Times New Roman" w:asciiTheme="minorEastAsia" w:hAnsiTheme="minorEastAsia"/>
                <w:color w:val="000000" w:themeColor="text1"/>
                <w:szCs w:val="21"/>
                <w:highlight w:val="none"/>
                <w:u w:val="single"/>
                <w14:textFill>
                  <w14:solidFill>
                    <w14:schemeClr w14:val="tx1"/>
                  </w14:solidFill>
                </w14:textFill>
              </w:rPr>
              <w:t>《重庆国际投资咨询集团网》（www.cqiic.com）</w:t>
            </w:r>
            <w:r>
              <w:rPr>
                <w:rFonts w:cs="Times New Roman" w:asciiTheme="minorEastAsia" w:hAnsiTheme="minorEastAsia"/>
                <w:color w:val="000000" w:themeColor="text1"/>
                <w:szCs w:val="21"/>
                <w:highlight w:val="none"/>
                <w14:textFill>
                  <w14:solidFill>
                    <w14:schemeClr w14:val="tx1"/>
                  </w14:solidFill>
                </w14:textFill>
              </w:rPr>
              <w:t>发出</w:t>
            </w:r>
            <w:r>
              <w:rPr>
                <w:rFonts w:hint="eastAsia" w:cs="Times New Roman" w:asciiTheme="minorEastAsia" w:hAnsiTheme="minorEastAsia"/>
                <w:color w:val="000000" w:themeColor="text1"/>
                <w:szCs w:val="21"/>
                <w:highlight w:val="none"/>
                <w14:textFill>
                  <w14:solidFill>
                    <w14:schemeClr w14:val="tx1"/>
                  </w14:solidFill>
                </w14:textFill>
              </w:rPr>
              <w:t>，并将澄清或者修改内容作为招标文件的补充部分。</w:t>
            </w:r>
          </w:p>
          <w:p>
            <w:pPr>
              <w:rPr>
                <w:rFonts w:ascii="Times New Roman" w:hAnsi="Times New Roman" w:eastAsia="宋体" w:cs="Times New Roman"/>
                <w:color w:val="000000" w:themeColor="text1"/>
                <w:szCs w:val="21"/>
                <w:highlight w:val="none"/>
                <w14:textFill>
                  <w14:solidFill>
                    <w14:schemeClr w14:val="tx1"/>
                  </w14:solidFill>
                </w14:textFill>
              </w:rPr>
            </w:pPr>
            <w:r>
              <w:rPr>
                <w:rFonts w:cs="Times New Roman" w:asciiTheme="minorEastAsia" w:hAnsiTheme="minorEastAsia"/>
                <w:color w:val="000000" w:themeColor="text1"/>
                <w:szCs w:val="21"/>
                <w:highlight w:val="none"/>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无论投标人是否</w:t>
            </w:r>
            <w:r>
              <w:rPr>
                <w:rFonts w:hint="eastAsia" w:ascii="Times New Roman" w:hAnsi="Times New Roman"/>
                <w:color w:val="000000" w:themeColor="text1"/>
                <w:szCs w:val="21"/>
                <w:highlight w:val="none"/>
                <w14:textFill>
                  <w14:solidFill>
                    <w14:schemeClr w14:val="tx1"/>
                  </w14:solidFill>
                </w14:textFill>
              </w:rPr>
              <w:t>在</w:t>
            </w:r>
            <w:r>
              <w:rPr>
                <w:rFonts w:hint="eastAsia" w:cs="Times New Roman" w:asciiTheme="minorEastAsia" w:hAnsiTheme="minorEastAsia"/>
                <w:color w:val="000000" w:themeColor="text1"/>
                <w:szCs w:val="21"/>
                <w:highlight w:val="none"/>
                <w:u w:val="single"/>
                <w14:textFill>
                  <w14:solidFill>
                    <w14:schemeClr w14:val="tx1"/>
                  </w14:solidFill>
                </w14:textFill>
              </w:rPr>
              <w:t>《重庆国际投资咨询集团网》（www.cqiic.com）</w:t>
            </w:r>
            <w:r>
              <w:rPr>
                <w:rFonts w:hint="eastAsia" w:cs="Times New Roman" w:asciiTheme="minorEastAsia" w:hAnsiTheme="minorEastAsia"/>
                <w:color w:val="000000" w:themeColor="text1"/>
                <w:szCs w:val="21"/>
                <w:highlight w:val="none"/>
                <w14:textFill>
                  <w14:solidFill>
                    <w14:schemeClr w14:val="tx1"/>
                  </w14:solidFill>
                </w14:textFill>
              </w:rPr>
              <w:t>网上下载招标文件或澄清或修改内容，</w:t>
            </w:r>
            <w:r>
              <w:rPr>
                <w:rFonts w:ascii="Times New Roman" w:hAnsi="Times New Roman"/>
                <w:color w:val="000000" w:themeColor="text1"/>
                <w:szCs w:val="21"/>
                <w:highlight w:val="none"/>
                <w14:textFill>
                  <w14:solidFill>
                    <w14:schemeClr w14:val="tx1"/>
                  </w14:solidFill>
                </w14:textFill>
              </w:rPr>
              <w:t>招标人和招标机构均视为投标人已知晓招标文件全部澄清或修改内容，由此产生的一切后果均由投标人自己负责</w:t>
            </w:r>
            <w:r>
              <w:rPr>
                <w:rFonts w:cs="Times New Roman" w:asciiTheme="minorEastAsia" w:hAnsi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69" w:type="dxa"/>
            <w:gridSpan w:val="4"/>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11.1</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11.2</w:t>
            </w:r>
          </w:p>
        </w:tc>
        <w:tc>
          <w:tcPr>
            <w:tcW w:w="8819" w:type="dxa"/>
            <w:gridSpan w:val="2"/>
            <w:vAlign w:val="center"/>
          </w:tcPr>
          <w:p>
            <w:pPr>
              <w:numPr>
                <w:ilvl w:val="0"/>
                <w:numId w:val="11"/>
              </w:num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投标报价为项目包干价，包含投标总报价、</w:t>
            </w:r>
            <w:r>
              <w:rPr>
                <w:rFonts w:hint="eastAsia" w:ascii="Times New Roman" w:hAnsi="Times New Roman" w:eastAsia="新宋体" w:cs="Times New Roman"/>
                <w:color w:val="000000" w:themeColor="text1"/>
                <w:szCs w:val="24"/>
                <w:highlight w:val="none"/>
                <w14:textFill>
                  <w14:solidFill>
                    <w14:schemeClr w14:val="tx1"/>
                  </w14:solidFill>
                </w14:textFill>
              </w:rPr>
              <w:t>后续驻场开发人月单价</w:t>
            </w:r>
            <w:r>
              <w:rPr>
                <w:rFonts w:hint="eastAsia" w:ascii="Times New Roman" w:hAnsi="Times New Roman" w:eastAsia="宋体" w:cs="Times New Roman"/>
                <w:color w:val="000000" w:themeColor="text1"/>
                <w:szCs w:val="21"/>
                <w:highlight w:val="none"/>
                <w14:textFill>
                  <w14:solidFill>
                    <w14:schemeClr w14:val="tx1"/>
                  </w14:solidFill>
                </w14:textFill>
              </w:rPr>
              <w:t>（简称：人月单价）报价以及</w:t>
            </w:r>
            <w:r>
              <w:rPr>
                <w:rFonts w:hint="eastAsia" w:ascii="Times New Roman" w:hAnsi="Times New Roman" w:eastAsia="新宋体" w:cs="Times New Roman"/>
                <w:color w:val="000000" w:themeColor="text1"/>
                <w:szCs w:val="24"/>
                <w:highlight w:val="none"/>
                <w14:textFill>
                  <w14:solidFill>
                    <w14:schemeClr w14:val="tx1"/>
                  </w14:solidFill>
                </w14:textFill>
              </w:rPr>
              <w:t>一年的免费维保期后五年内（含五年）的年运营维护费（简称：年维护费）</w:t>
            </w:r>
            <w:r>
              <w:rPr>
                <w:rFonts w:hint="eastAsia" w:ascii="Times New Roman" w:hAnsi="Times New Roman" w:eastAsia="宋体" w:cs="Times New Roman"/>
                <w:color w:val="000000" w:themeColor="text1"/>
                <w:szCs w:val="21"/>
                <w:highlight w:val="none"/>
                <w14:textFill>
                  <w14:solidFill>
                    <w14:schemeClr w14:val="tx1"/>
                  </w14:solidFill>
                </w14:textFill>
              </w:rPr>
              <w:t>报价（各投标人按照招标文件第六章《投标文件格式（部分）》投标函部分进行响应和填报），应完全包含招标文件（含附件、答疑、补遗、澄清及修改文件等）要求的服务范围及实施、实施方人员所有费用。若因投标人在投标报价时有漏报、缺项的情况发生，招标人视为投标人已充分理解招标文件要求，漏报、漏项部分已计入投标报价之中，若中标后签订合同时价格不予调整。具体要求：</w:t>
            </w:r>
          </w:p>
          <w:p>
            <w:pPr>
              <w:numPr>
                <w:ilvl w:val="0"/>
                <w:numId w:val="12"/>
              </w:num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项目报价应包含完成项目建设所需的人工费用、交通工具、办公设施、第三方软件等相关费用；</w:t>
            </w:r>
          </w:p>
          <w:p>
            <w:pPr>
              <w:numPr>
                <w:ilvl w:val="0"/>
                <w:numId w:val="12"/>
              </w:num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特别说明，本次报价为包含可全额抵扣的增值税专用发票税金的价格。</w:t>
            </w:r>
          </w:p>
          <w:p>
            <w:pPr>
              <w:numPr>
                <w:ilvl w:val="0"/>
                <w:numId w:val="13"/>
              </w:num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（1）本项目采购预算为260万元，投标人的投标总报价不得超过采购预算，否则为废标；   （2）人月单价以绝对值报价，</w:t>
            </w:r>
            <w:r>
              <w:rPr>
                <w:rFonts w:hint="eastAsia"/>
                <w:color w:val="000000" w:themeColor="text1"/>
                <w:highlight w:val="none"/>
                <w14:textFill>
                  <w14:solidFill>
                    <w14:schemeClr w14:val="tx1"/>
                  </w14:solidFill>
                </w14:textFill>
              </w:rPr>
              <w:t>单位为万元/人月，投标人报价超过2.75万元/人月限价的，视为废标；</w:t>
            </w:r>
          </w:p>
          <w:p>
            <w:pPr>
              <w:numPr>
                <w:ilvl w:val="255"/>
                <w:numId w:val="0"/>
              </w:num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（3）</w:t>
            </w:r>
            <w:r>
              <w:rPr>
                <w:rFonts w:hint="eastAsia" w:ascii="Times New Roman" w:hAnsi="Times New Roman" w:eastAsia="新宋体" w:cs="Times New Roman"/>
                <w:color w:val="000000" w:themeColor="text1"/>
                <w:szCs w:val="24"/>
                <w:highlight w:val="none"/>
                <w14:textFill>
                  <w14:solidFill>
                    <w14:schemeClr w14:val="tx1"/>
                  </w14:solidFill>
                </w14:textFill>
              </w:rPr>
              <w:t>年维护费</w:t>
            </w:r>
            <w:r>
              <w:rPr>
                <w:rFonts w:hint="eastAsia"/>
                <w:color w:val="000000" w:themeColor="text1"/>
                <w:highlight w:val="none"/>
                <w14:textFill>
                  <w14:solidFill>
                    <w14:schemeClr w14:val="tx1"/>
                  </w14:solidFill>
                </w14:textFill>
              </w:rPr>
              <w:t>以百分比报价，</w:t>
            </w:r>
            <w:r>
              <w:rPr>
                <w:rFonts w:hint="eastAsia" w:ascii="Times New Roman" w:hAnsi="Times New Roman" w:eastAsia="宋体" w:cs="Times New Roman"/>
                <w:color w:val="000000" w:themeColor="text1"/>
                <w:szCs w:val="21"/>
                <w:highlight w:val="none"/>
                <w14:textFill>
                  <w14:solidFill>
                    <w14:schemeClr w14:val="tx1"/>
                  </w14:solidFill>
                </w14:textFill>
              </w:rPr>
              <w:t>不得超过合同金额的10%，否则视作废标。</w:t>
            </w:r>
          </w:p>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3、投标报价还应按照招标文件投标人须知前附表30.1的约定，将招标代理服务费计入投标总报价中，但不单独列项。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12.1</w:t>
            </w:r>
          </w:p>
        </w:tc>
        <w:tc>
          <w:tcPr>
            <w:tcW w:w="8819" w:type="dxa"/>
            <w:gridSpan w:val="2"/>
            <w:vAlign w:val="center"/>
          </w:tcPr>
          <w:p>
            <w:pP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投标保证金的缴纳：</w:t>
            </w:r>
          </w:p>
          <w:p>
            <w:pPr>
              <w:spacing w:line="400" w:lineRule="exact"/>
              <w:rPr>
                <w:rFonts w:cs="Times New Roman" w:asciiTheme="minorEastAsia" w:hAnsiTheme="minorEastAsia"/>
                <w:color w:val="000000" w:themeColor="text1"/>
                <w:szCs w:val="21"/>
                <w:highlight w:val="none"/>
                <w14:textFill>
                  <w14:solidFill>
                    <w14:schemeClr w14:val="tx1"/>
                  </w14:solidFill>
                </w14:textFill>
              </w:rPr>
            </w:pPr>
            <w:r>
              <w:rPr>
                <w:rFonts w:cs="Times New Roman" w:asciiTheme="minorEastAsia" w:hAnsiTheme="minorEastAsia"/>
                <w:color w:val="000000" w:themeColor="text1"/>
                <w:szCs w:val="21"/>
                <w:highlight w:val="none"/>
                <w14:textFill>
                  <w14:solidFill>
                    <w14:schemeClr w14:val="tx1"/>
                  </w14:solidFill>
                </w14:textFill>
              </w:rPr>
              <w:t>1、投标保证金金额：</w:t>
            </w:r>
            <w:r>
              <w:rPr>
                <w:rFonts w:hint="eastAsia" w:eastAsia="宋体" w:cs="Times New Roman" w:asciiTheme="minorEastAsia" w:hAnsiTheme="minorEastAsia"/>
                <w:color w:val="000000" w:themeColor="text1"/>
                <w:szCs w:val="21"/>
                <w:highlight w:val="none"/>
                <w14:textFill>
                  <w14:solidFill>
                    <w14:schemeClr w14:val="tx1"/>
                  </w14:solidFill>
                </w14:textFill>
              </w:rPr>
              <w:t>5.2万元</w:t>
            </w:r>
            <w:r>
              <w:rPr>
                <w:rFonts w:cs="Times New Roman" w:asciiTheme="minorEastAsia" w:hAnsiTheme="minorEastAsia"/>
                <w:color w:val="000000" w:themeColor="text1"/>
                <w:szCs w:val="21"/>
                <w:highlight w:val="none"/>
                <w14:textFill>
                  <w14:solidFill>
                    <w14:schemeClr w14:val="tx1"/>
                  </w14:solidFill>
                </w14:textFill>
              </w:rPr>
              <w:t>。</w:t>
            </w:r>
          </w:p>
          <w:p>
            <w:pPr>
              <w:spacing w:line="400" w:lineRule="exact"/>
              <w:rPr>
                <w:rFonts w:cs="Times New Roman" w:asciiTheme="minorEastAsia" w:hAnsiTheme="minorEastAsia"/>
                <w:color w:val="000000" w:themeColor="text1"/>
                <w:szCs w:val="21"/>
                <w:highlight w:val="none"/>
                <w14:textFill>
                  <w14:solidFill>
                    <w14:schemeClr w14:val="tx1"/>
                  </w14:solidFill>
                </w14:textFill>
              </w:rPr>
            </w:pPr>
            <w:r>
              <w:rPr>
                <w:rFonts w:cs="Times New Roman" w:asciiTheme="minorEastAsia" w:hAnsiTheme="minorEastAsia"/>
                <w:color w:val="000000" w:themeColor="text1"/>
                <w:szCs w:val="21"/>
                <w:highlight w:val="none"/>
                <w14:textFill>
                  <w14:solidFill>
                    <w14:schemeClr w14:val="tx1"/>
                  </w14:solidFill>
                </w14:textFill>
              </w:rPr>
              <w:t>2、投标保证金提交方式：以银行转账或银行电汇形式提交，投标人可任选一种。</w:t>
            </w:r>
          </w:p>
          <w:p>
            <w:pPr>
              <w:spacing w:line="400" w:lineRule="exact"/>
              <w:rPr>
                <w:rFonts w:hint="eastAsia" w:ascii="Times New Roman" w:hAnsi="Times New Roman"/>
                <w:color w:val="000000" w:themeColor="text1"/>
                <w:szCs w:val="21"/>
                <w:highlight w:val="none"/>
                <w14:textFill>
                  <w14:solidFill>
                    <w14:schemeClr w14:val="tx1"/>
                  </w14:solidFill>
                </w14:textFill>
              </w:rPr>
            </w:pPr>
            <w:r>
              <w:rPr>
                <w:rFonts w:cs="Times New Roman" w:asciiTheme="minorEastAsia" w:hAnsiTheme="minorEastAsia"/>
                <w:color w:val="000000" w:themeColor="text1"/>
                <w:szCs w:val="21"/>
                <w:highlight w:val="none"/>
                <w14:textFill>
                  <w14:solidFill>
                    <w14:schemeClr w14:val="tx1"/>
                  </w14:solidFill>
                </w14:textFill>
              </w:rPr>
              <w:t>3、提交时间和方式：</w:t>
            </w:r>
            <w:r>
              <w:rPr>
                <w:rFonts w:hint="eastAsia" w:ascii="宋体" w:hAnsi="宋体"/>
                <w:color w:val="000000" w:themeColor="text1"/>
                <w:kern w:val="0"/>
                <w:highlight w:val="none"/>
                <w14:textFill>
                  <w14:solidFill>
                    <w14:schemeClr w14:val="tx1"/>
                  </w14:solidFill>
                </w14:textFill>
              </w:rPr>
              <w:t>投标人应向以下指定账户</w:t>
            </w:r>
            <w:r>
              <w:rPr>
                <w:rFonts w:ascii="Times New Roman" w:hAnsi="Times New Roman" w:eastAsia="宋体" w:cs="Times New Roman"/>
                <w:color w:val="000000" w:themeColor="text1"/>
                <w:szCs w:val="21"/>
                <w:highlight w:val="none"/>
                <w14:textFill>
                  <w14:solidFill>
                    <w14:schemeClr w14:val="tx1"/>
                  </w14:solidFill>
                </w14:textFill>
              </w:rPr>
              <w:t>直接转（汇）入</w:t>
            </w:r>
            <w:r>
              <w:rPr>
                <w:rFonts w:hint="eastAsia" w:ascii="宋体" w:hAnsi="宋体"/>
                <w:color w:val="000000" w:themeColor="text1"/>
                <w:kern w:val="0"/>
                <w:highlight w:val="none"/>
                <w14:textFill>
                  <w14:solidFill>
                    <w14:schemeClr w14:val="tx1"/>
                  </w14:solidFill>
                </w14:textFill>
              </w:rPr>
              <w:t>足额的投标保证金</w:t>
            </w:r>
            <w:r>
              <w:rPr>
                <w:rFonts w:hint="eastAsia" w:ascii="宋体" w:hAnsi="宋体"/>
                <w:b/>
                <w:bCs/>
                <w:color w:val="000000" w:themeColor="text1"/>
                <w:kern w:val="0"/>
                <w:highlight w:val="none"/>
                <w14:textFill>
                  <w14:solidFill>
                    <w14:schemeClr w14:val="tx1"/>
                  </w14:solidFill>
                </w14:textFill>
              </w:rPr>
              <w:t>（各投标人须按招标文件要求，在投标文件中附投标保证金提交凭证）</w:t>
            </w:r>
            <w:r>
              <w:rPr>
                <w:rFonts w:hint="eastAsia" w:ascii="宋体" w:hAnsi="宋体"/>
                <w:b/>
                <w:bCs/>
                <w:color w:val="000000" w:themeColor="text1"/>
                <w:kern w:val="0"/>
                <w:highlight w:val="none"/>
                <w:lang w:val="en-US" w:eastAsia="zh-CN"/>
                <w14:textFill>
                  <w14:solidFill>
                    <w14:schemeClr w14:val="tx1"/>
                  </w14:solidFill>
                </w14:textFill>
              </w:rPr>
              <w:t>,</w:t>
            </w:r>
            <w:r>
              <w:rPr>
                <w:rFonts w:ascii="Times New Roman" w:hAnsi="Times New Roman" w:eastAsia="宋体" w:cs="Times New Roman"/>
                <w:b/>
                <w:color w:val="000000" w:themeColor="text1"/>
                <w:szCs w:val="21"/>
                <w:highlight w:val="none"/>
                <w14:textFill>
                  <w14:solidFill>
                    <w14:schemeClr w14:val="tx1"/>
                  </w14:solidFill>
                </w14:textFill>
              </w:rPr>
              <w:t>其转（汇）款到账截止时间为投标截止时间前</w:t>
            </w:r>
            <w:r>
              <w:rPr>
                <w:rFonts w:hint="eastAsia" w:ascii="Times New Roman" w:hAnsi="Times New Roman" w:eastAsia="宋体" w:cs="Times New Roman"/>
                <w:b/>
                <w:color w:val="000000" w:themeColor="text1"/>
                <w:szCs w:val="21"/>
                <w:highlight w:val="none"/>
                <w:lang w:eastAsia="zh-CN"/>
                <w14:textFill>
                  <w14:solidFill>
                    <w14:schemeClr w14:val="tx1"/>
                  </w14:solidFill>
                </w14:textFill>
              </w:rPr>
              <w:t>一天</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17</w:t>
            </w:r>
            <w:r>
              <w:rPr>
                <w:rFonts w:ascii="Times New Roman" w:hAnsi="Times New Roman" w:eastAsia="宋体" w:cs="Times New Roman"/>
                <w:b/>
                <w:color w:val="000000" w:themeColor="text1"/>
                <w:szCs w:val="21"/>
                <w:highlight w:val="none"/>
                <w14:textFill>
                  <w14:solidFill>
                    <w14:schemeClr w14:val="tx1"/>
                  </w14:solidFill>
                </w14:textFill>
              </w:rPr>
              <w:t>时</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00分</w:t>
            </w:r>
            <w:r>
              <w:rPr>
                <w:rFonts w:hint="eastAsia" w:ascii="宋体" w:hAnsi="宋体"/>
                <w:color w:val="000000" w:themeColor="text1"/>
                <w:kern w:val="0"/>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若本招标文件规定的投标文件递交截止时间顺延，则投标保证金到账截止时间相应顺延。</w:t>
            </w:r>
          </w:p>
          <w:p>
            <w:pPr>
              <w:spacing w:line="400" w:lineRule="exact"/>
              <w:rPr>
                <w:rFonts w:hint="eastAsia" w:ascii="Times New Roman" w:hAnsi="Times New Roman"/>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 xml:space="preserve">   各投标人在银行转账（电汇）投标保证金时，须充分考虑银行转账（电汇）的时间差风险，如同城转账、异地转账或汇款、跨行转账或电汇的时间要求，未在本招标文件规定的截止时间前到账的，按否决投标处理；</w:t>
            </w:r>
          </w:p>
          <w:p>
            <w:pPr>
              <w:spacing w:line="400" w:lineRule="exact"/>
              <w:rPr>
                <w:rFonts w:hint="eastAsia" w:ascii="Times New Roman" w:hAnsi="Times New Roman" w:eastAsiaTheme="minorEastAsia"/>
                <w:color w:val="000000" w:themeColor="text1"/>
                <w:szCs w:val="21"/>
                <w:highlight w:val="none"/>
                <w:lang w:val="en-US" w:eastAsia="zh-CN"/>
                <w14:textFill>
                  <w14:solidFill>
                    <w14:schemeClr w14:val="tx1"/>
                  </w14:solidFill>
                </w14:textFill>
              </w:rPr>
            </w:pPr>
          </w:p>
          <w:p>
            <w:pPr>
              <w:spacing w:line="400" w:lineRule="exact"/>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投标保证金指定账户：</w:t>
            </w:r>
          </w:p>
          <w:p>
            <w:pPr>
              <w:spacing w:line="40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单位全称：重庆招标采购（集团）有限责任公司</w:t>
            </w:r>
          </w:p>
          <w:p>
            <w:pPr>
              <w:spacing w:line="40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开户行：工行重庆五江支行</w:t>
            </w:r>
          </w:p>
          <w:p>
            <w:pPr>
              <w:spacing w:line="400" w:lineRule="exact"/>
              <w:rPr>
                <w:rFonts w:cs="Times New Roman" w:asciiTheme="minorEastAsia" w:hAnsiTheme="minorEastAsia"/>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账号：3100031009100026378</w:t>
            </w:r>
          </w:p>
          <w:p>
            <w:pPr>
              <w:spacing w:line="400" w:lineRule="exact"/>
              <w:rPr>
                <w:rFonts w:hint="eastAsia" w:ascii="Times New Roman" w:hAnsi="Times New Roman"/>
                <w:b/>
                <w:color w:val="000000" w:themeColor="text1"/>
                <w:szCs w:val="21"/>
                <w:highlight w:val="none"/>
                <w14:textFill>
                  <w14:solidFill>
                    <w14:schemeClr w14:val="tx1"/>
                  </w14:solidFill>
                </w14:textFill>
              </w:rPr>
            </w:pPr>
          </w:p>
          <w:p>
            <w:pPr>
              <w:spacing w:line="400" w:lineRule="exact"/>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注：</w:t>
            </w:r>
          </w:p>
          <w:p>
            <w:pPr>
              <w:numPr>
                <w:ilvl w:val="0"/>
                <w:numId w:val="14"/>
              </w:numPr>
              <w:spacing w:line="400" w:lineRule="exact"/>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打款时请仔细核对投标保证金账户信息：开户行、单位全称、账号等；</w:t>
            </w:r>
          </w:p>
          <w:p>
            <w:pPr>
              <w:numPr>
                <w:ilvl w:val="0"/>
                <w:numId w:val="14"/>
              </w:numPr>
              <w:spacing w:line="400" w:lineRule="exact"/>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若投标人未按招标文件要求，在投标文件中附投标保证金提交凭证导致评标委员会无法核实其保证金是否按相关规定提交的，后果自负。</w:t>
            </w:r>
          </w:p>
          <w:p>
            <w:pPr>
              <w:spacing w:line="360" w:lineRule="auto"/>
              <w:jc w:val="left"/>
              <w:rPr>
                <w:rFonts w:ascii="Times New Roman" w:hAnsi="Times New Roman" w:eastAsia="宋体" w:cs="Times New Roman"/>
                <w:b/>
                <w:color w:val="000000" w:themeColor="text1"/>
                <w:szCs w:val="21"/>
                <w:highlight w:val="none"/>
                <w14:textFill>
                  <w14:solidFill>
                    <w14:schemeClr w14:val="tx1"/>
                  </w14:solidFill>
                </w14:textFill>
              </w:rPr>
            </w:pPr>
            <w:r>
              <w:rPr>
                <w:rFonts w:cs="Times New Roman" w:asciiTheme="minorEastAsia" w:hAnsiTheme="minorEastAsia"/>
                <w:color w:val="000000" w:themeColor="text1"/>
                <w:szCs w:val="21"/>
                <w:highlight w:val="none"/>
                <w14:textFill>
                  <w14:solidFill>
                    <w14:schemeClr w14:val="tx1"/>
                  </w14:solidFill>
                </w14:textFill>
              </w:rPr>
              <w:t>4、投标保证金有效期：90天。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12.</w:t>
            </w:r>
            <w:r>
              <w:rPr>
                <w:rFonts w:hint="eastAsia" w:ascii="Times New Roman" w:hAnsi="Times New Roman" w:eastAsia="宋体" w:cs="Times New Roman"/>
                <w:color w:val="000000" w:themeColor="text1"/>
                <w:szCs w:val="21"/>
                <w:highlight w:val="none"/>
                <w14:textFill>
                  <w14:solidFill>
                    <w14:schemeClr w14:val="tx1"/>
                  </w14:solidFill>
                </w14:textFill>
              </w:rPr>
              <w:t>3</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中标候选人以外投标人的投标保证金退还：</w:t>
            </w:r>
          </w:p>
          <w:p>
            <w:pPr>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在中标通知书发出后5日内，将中标候选人以外的投标人投标保证金退还至其来款帐户。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12.4</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其他中标候选人的投标保证金的退还：</w:t>
            </w:r>
          </w:p>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其他中标候选人在招标人与中标人签订合同后5日内，将投标保证金退还至其来款账户。</w:t>
            </w:r>
          </w:p>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中标人投标保证金的退还：</w:t>
            </w:r>
          </w:p>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在招标人与中标人签订合同且提交履约担保（如果有）后5日内，将投标保证金退还至其来款账户。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12.5</w:t>
            </w:r>
          </w:p>
        </w:tc>
        <w:tc>
          <w:tcPr>
            <w:tcW w:w="8819" w:type="dxa"/>
            <w:gridSpan w:val="2"/>
            <w:vAlign w:val="center"/>
          </w:tcPr>
          <w:p>
            <w:pPr>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其他可以不予退还投标保证金的情形：</w:t>
            </w:r>
          </w:p>
          <w:p>
            <w:pPr>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w:t>
            </w:r>
            <w:r>
              <w:rPr>
                <w:rFonts w:hint="eastAsia" w:ascii="Times New Roman" w:hAnsi="Times New Roman" w:eastAsia="宋体" w:cs="Times New Roman"/>
                <w:color w:val="000000" w:themeColor="text1"/>
                <w:szCs w:val="21"/>
                <w:highlight w:val="none"/>
                <w14:textFill>
                  <w14:solidFill>
                    <w14:schemeClr w14:val="tx1"/>
                  </w14:solidFill>
                </w14:textFill>
              </w:rPr>
              <w:tab/>
            </w:r>
            <w:r>
              <w:rPr>
                <w:rFonts w:hint="eastAsia" w:ascii="Times New Roman" w:hAnsi="Times New Roman" w:eastAsia="宋体" w:cs="Times New Roman"/>
                <w:color w:val="000000" w:themeColor="text1"/>
                <w:szCs w:val="21"/>
                <w:highlight w:val="none"/>
                <w14:textFill>
                  <w14:solidFill>
                    <w14:schemeClr w14:val="tx1"/>
                  </w14:solidFill>
                </w14:textFill>
              </w:rPr>
              <w:t>公示结束后，拟中标人不按招标文件规定参加相关测试（如果有）；</w:t>
            </w:r>
          </w:p>
          <w:p>
            <w:pPr>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w:t>
            </w:r>
            <w:r>
              <w:rPr>
                <w:rFonts w:hint="eastAsia" w:ascii="Times New Roman" w:hAnsi="Times New Roman" w:eastAsia="宋体" w:cs="Times New Roman"/>
                <w:color w:val="000000" w:themeColor="text1"/>
                <w:szCs w:val="21"/>
                <w:highlight w:val="none"/>
                <w14:textFill>
                  <w14:solidFill>
                    <w14:schemeClr w14:val="tx1"/>
                  </w14:solidFill>
                </w14:textFill>
              </w:rPr>
              <w:tab/>
            </w:r>
            <w:r>
              <w:rPr>
                <w:rFonts w:hint="eastAsia" w:ascii="Times New Roman" w:hAnsi="Times New Roman" w:eastAsia="宋体" w:cs="Times New Roman"/>
                <w:color w:val="000000" w:themeColor="text1"/>
                <w:szCs w:val="21"/>
                <w:highlight w:val="none"/>
                <w14:textFill>
                  <w14:solidFill>
                    <w14:schemeClr w14:val="tx1"/>
                  </w14:solidFill>
                </w14:textFill>
              </w:rPr>
              <w:t>拟中标人未能按照招标文件规定通过相关测试（如果有）；</w:t>
            </w:r>
          </w:p>
          <w:p>
            <w:pPr>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3、</w:t>
            </w:r>
            <w:r>
              <w:rPr>
                <w:rFonts w:hint="eastAsia" w:ascii="Times New Roman" w:hAnsi="Times New Roman" w:eastAsia="宋体" w:cs="Times New Roman"/>
                <w:color w:val="000000" w:themeColor="text1"/>
                <w:szCs w:val="21"/>
                <w:highlight w:val="none"/>
                <w14:textFill>
                  <w14:solidFill>
                    <w14:schemeClr w14:val="tx1"/>
                  </w14:solidFill>
                </w14:textFill>
              </w:rPr>
              <w:tab/>
            </w:r>
            <w:r>
              <w:rPr>
                <w:rFonts w:hint="eastAsia" w:ascii="Times New Roman" w:hAnsi="Times New Roman" w:eastAsia="宋体" w:cs="Times New Roman"/>
                <w:color w:val="000000" w:themeColor="text1"/>
                <w:szCs w:val="21"/>
                <w:highlight w:val="none"/>
                <w14:textFill>
                  <w14:solidFill>
                    <w14:schemeClr w14:val="tx1"/>
                  </w14:solidFill>
                </w14:textFill>
              </w:rPr>
              <w:t>中标人收到中标通知书领取通知后，未按照招标人的通知时限领取中标通知书。</w:t>
            </w:r>
          </w:p>
          <w:p>
            <w:pPr>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4、《招标投标法》、《招标投标法实施条例》及《重庆市招标投标条例》等法律法规规定的没收投标保证金的情况。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13</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投标文件有效期：90日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14.3</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投标文件份数:纸质版正本1份，纸质版副本1份，电子投标文件数量2份；</w:t>
            </w:r>
          </w:p>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其中电子投标文件须按以下执行：</w:t>
            </w:r>
          </w:p>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全套投标文件扫描件的U盘2份，采用U盘作为载体，格式为PDF或JPG。</w:t>
            </w:r>
          </w:p>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注：电子投标文件仅作存档使用，不作为评标依据；电子投标文件与纸质版投标文件应当一致，当电子投标文件与纸质版投标文件不一致时，以纸质版投标文件为准。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4"/>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五、投标文件的递交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trPr>
        <w:tc>
          <w:tcPr>
            <w:tcW w:w="1092" w:type="dxa"/>
            <w:gridSpan w:val="3"/>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15.1</w:t>
            </w:r>
          </w:p>
        </w:tc>
        <w:tc>
          <w:tcPr>
            <w:tcW w:w="8777" w:type="dxa"/>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投标人应制作一套投标文件正本和</w:t>
            </w:r>
            <w:r>
              <w:rPr>
                <w:rFonts w:ascii="Times New Roman" w:hAnsi="Times New Roman" w:eastAsia="宋体" w:cs="Times New Roman"/>
                <w:b/>
                <w:color w:val="000000" w:themeColor="text1"/>
                <w:szCs w:val="21"/>
                <w:highlight w:val="none"/>
                <w14:textFill>
                  <w14:solidFill>
                    <w14:schemeClr w14:val="tx1"/>
                  </w14:solidFill>
                </w14:textFill>
              </w:rPr>
              <w:t>投标人须知前附表</w:t>
            </w:r>
            <w:r>
              <w:rPr>
                <w:rFonts w:ascii="Times New Roman" w:hAnsi="Times New Roman" w:eastAsia="宋体" w:cs="Times New Roman"/>
                <w:color w:val="000000" w:themeColor="text1"/>
                <w:szCs w:val="21"/>
                <w:highlight w:val="none"/>
                <w14:textFill>
                  <w14:solidFill>
                    <w14:schemeClr w14:val="tx1"/>
                  </w14:solidFill>
                </w14:textFill>
              </w:rPr>
              <w:t>中规定数目的副本，每套投标文件须清楚地标明“正本”或“副本”字样。若副本与正本不符，以正本为准。投标人应同时提供电子介质的投标文件，电子介质的投标文件仅作为存档使用，不作为评审的依据。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1092" w:type="dxa"/>
            <w:gridSpan w:val="3"/>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15.2</w:t>
            </w:r>
          </w:p>
        </w:tc>
        <w:tc>
          <w:tcPr>
            <w:tcW w:w="8777" w:type="dxa"/>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投标文件纸质版和电子版由投标人自行密封。投标文件密封袋，应有投标人法定代表人或其授权代表的签字或加盖投标单位鲜章。封皮上写明项目名称，</w:t>
            </w:r>
            <w:r>
              <w:rPr>
                <w:rFonts w:ascii="Times New Roman" w:hAnsi="Times New Roman" w:eastAsia="宋体" w:cs="Times New Roman"/>
                <w:b/>
                <w:color w:val="000000" w:themeColor="text1"/>
                <w:szCs w:val="21"/>
                <w:highlight w:val="none"/>
                <w14:textFill>
                  <w14:solidFill>
                    <w14:schemeClr w14:val="tx1"/>
                  </w14:solidFill>
                </w14:textFill>
              </w:rPr>
              <w:t>若投标文件过厚，投标人可自行将投标文件分装成多册多部分。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trPr>
        <w:tc>
          <w:tcPr>
            <w:tcW w:w="1092" w:type="dxa"/>
            <w:gridSpan w:val="3"/>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16.1</w:t>
            </w:r>
          </w:p>
        </w:tc>
        <w:tc>
          <w:tcPr>
            <w:tcW w:w="8777" w:type="dxa"/>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投标截止时间：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201</w:t>
            </w:r>
            <w:r>
              <w:rPr>
                <w:rFonts w:hint="eastAsia" w:ascii="Times New Roman" w:hAnsi="Times New Roman" w:eastAsia="宋体" w:cs="Times New Roman"/>
                <w:color w:val="000000" w:themeColor="text1"/>
                <w:szCs w:val="21"/>
                <w:highlight w:val="none"/>
                <w:u w:val="single"/>
                <w14:textFill>
                  <w14:solidFill>
                    <w14:schemeClr w14:val="tx1"/>
                  </w14:solidFill>
                </w14:textFill>
              </w:rPr>
              <w:t>9</w:t>
            </w:r>
            <w:r>
              <w:rPr>
                <w:rFonts w:ascii="Times New Roman" w:hAnsi="Times New Roman" w:eastAsia="宋体" w:cs="Times New Roman"/>
                <w:color w:val="000000" w:themeColor="text1"/>
                <w:szCs w:val="21"/>
                <w:highlight w:val="none"/>
                <w14:textFill>
                  <w14:solidFill>
                    <w14:schemeClr w14:val="tx1"/>
                  </w14:solidFill>
                </w14:textFill>
              </w:rPr>
              <w:t>年</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6</w:t>
            </w:r>
            <w:r>
              <w:rPr>
                <w:rFonts w:ascii="Times New Roman" w:hAnsi="Times New Roman" w:eastAsia="宋体" w:cs="Times New Roman"/>
                <w:color w:val="000000" w:themeColor="text1"/>
                <w:szCs w:val="21"/>
                <w:highlight w:val="none"/>
                <w14:textFill>
                  <w14:solidFill>
                    <w14:schemeClr w14:val="tx1"/>
                  </w14:solidFill>
                </w14:textFill>
              </w:rPr>
              <w:t>月</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24</w:t>
            </w:r>
            <w:r>
              <w:rPr>
                <w:rFonts w:ascii="Times New Roman" w:hAnsi="Times New Roman" w:eastAsia="宋体" w:cs="Times New Roman"/>
                <w:color w:val="000000" w:themeColor="text1"/>
                <w:szCs w:val="21"/>
                <w:highlight w:val="none"/>
                <w14:textFill>
                  <w14:solidFill>
                    <w14:schemeClr w14:val="tx1"/>
                  </w14:solidFill>
                </w14:textFill>
              </w:rPr>
              <w:t>日</w:t>
            </w:r>
            <w:r>
              <w:rPr>
                <w:rFonts w:hint="eastAsia" w:ascii="Times New Roman" w:hAnsi="Times New Roman" w:eastAsia="宋体" w:cs="Times New Roman"/>
                <w:color w:val="000000" w:themeColor="text1"/>
                <w:szCs w:val="21"/>
                <w:highlight w:val="none"/>
                <w14:textFill>
                  <w14:solidFill>
                    <w14:schemeClr w14:val="tx1"/>
                  </w14:solidFill>
                </w14:textFill>
              </w:rPr>
              <w:t>10</w:t>
            </w:r>
            <w:r>
              <w:rPr>
                <w:rFonts w:ascii="Times New Roman" w:hAnsi="Times New Roman" w:eastAsia="宋体" w:cs="Times New Roman"/>
                <w:color w:val="000000" w:themeColor="text1"/>
                <w:szCs w:val="21"/>
                <w:highlight w:val="none"/>
                <w14:textFill>
                  <w14:solidFill>
                    <w14:schemeClr w14:val="tx1"/>
                  </w14:solidFill>
                </w14:textFill>
              </w:rPr>
              <w:t>时</w:t>
            </w:r>
            <w:r>
              <w:rPr>
                <w:rFonts w:hint="eastAsia" w:ascii="Times New Roman" w:hAnsi="Times New Roman" w:eastAsia="宋体" w:cs="Times New Roman"/>
                <w:color w:val="000000" w:themeColor="text1"/>
                <w:szCs w:val="21"/>
                <w:highlight w:val="none"/>
                <w14:textFill>
                  <w14:solidFill>
                    <w14:schemeClr w14:val="tx1"/>
                  </w14:solidFill>
                </w14:textFill>
              </w:rPr>
              <w:t>00</w:t>
            </w:r>
            <w:r>
              <w:rPr>
                <w:rFonts w:ascii="Times New Roman" w:hAnsi="Times New Roman" w:eastAsia="宋体" w:cs="Times New Roman"/>
                <w:color w:val="000000" w:themeColor="text1"/>
                <w:szCs w:val="21"/>
                <w:highlight w:val="none"/>
                <w14:textFill>
                  <w14:solidFill>
                    <w14:schemeClr w14:val="tx1"/>
                  </w14:solidFill>
                </w14:textFill>
              </w:rPr>
              <w:t>分(北京时间)</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投标文件递交至：</w:t>
            </w:r>
            <w:r>
              <w:rPr>
                <w:rFonts w:cs="KLRFJD+ËÎÌå" w:asciiTheme="minorEastAsia" w:hAnsiTheme="minorEastAsia"/>
                <w:color w:val="000000" w:themeColor="text1"/>
                <w:spacing w:val="-1"/>
                <w:highlight w:val="none"/>
                <w:lang w:val="ru-RU"/>
                <w14:textFill>
                  <w14:solidFill>
                    <w14:schemeClr w14:val="tx1"/>
                  </w14:solidFill>
                </w14:textFill>
              </w:rPr>
              <w:t>重庆市江北区五里店五简路2号重庆咨询大厦开标厅（详见A栋一楼指示屏）</w:t>
            </w:r>
            <w:r>
              <w:rPr>
                <w:rFonts w:cs="Times New Roman" w:asciiTheme="minorEastAsia" w:hAnsi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4"/>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六、开标及评标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18.1</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开标时间：</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201</w:t>
            </w:r>
            <w:r>
              <w:rPr>
                <w:rFonts w:hint="eastAsia" w:ascii="Times New Roman" w:hAnsi="Times New Roman" w:eastAsia="宋体" w:cs="Times New Roman"/>
                <w:color w:val="000000" w:themeColor="text1"/>
                <w:szCs w:val="21"/>
                <w:highlight w:val="none"/>
                <w:u w:val="single"/>
                <w14:textFill>
                  <w14:solidFill>
                    <w14:schemeClr w14:val="tx1"/>
                  </w14:solidFill>
                </w14:textFill>
              </w:rPr>
              <w:t>9</w:t>
            </w:r>
            <w:r>
              <w:rPr>
                <w:rFonts w:ascii="Times New Roman" w:hAnsi="Times New Roman" w:eastAsia="宋体" w:cs="Times New Roman"/>
                <w:color w:val="000000" w:themeColor="text1"/>
                <w:szCs w:val="21"/>
                <w:highlight w:val="none"/>
                <w14:textFill>
                  <w14:solidFill>
                    <w14:schemeClr w14:val="tx1"/>
                  </w14:solidFill>
                </w14:textFill>
              </w:rPr>
              <w:t>年</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6</w:t>
            </w:r>
            <w:r>
              <w:rPr>
                <w:rFonts w:ascii="Times New Roman" w:hAnsi="Times New Roman" w:eastAsia="宋体" w:cs="Times New Roman"/>
                <w:color w:val="000000" w:themeColor="text1"/>
                <w:szCs w:val="21"/>
                <w:highlight w:val="none"/>
                <w14:textFill>
                  <w14:solidFill>
                    <w14:schemeClr w14:val="tx1"/>
                  </w14:solidFill>
                </w14:textFill>
              </w:rPr>
              <w:t>月</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24</w:t>
            </w:r>
            <w:r>
              <w:rPr>
                <w:rFonts w:ascii="Times New Roman" w:hAnsi="Times New Roman" w:eastAsia="宋体" w:cs="Times New Roman"/>
                <w:color w:val="000000" w:themeColor="text1"/>
                <w:szCs w:val="21"/>
                <w:highlight w:val="none"/>
                <w14:textFill>
                  <w14:solidFill>
                    <w14:schemeClr w14:val="tx1"/>
                  </w14:solidFill>
                </w14:textFill>
              </w:rPr>
              <w:t>日</w:t>
            </w:r>
            <w:r>
              <w:rPr>
                <w:rFonts w:hint="eastAsia" w:ascii="Times New Roman" w:hAnsi="Times New Roman" w:eastAsia="宋体" w:cs="Times New Roman"/>
                <w:color w:val="000000" w:themeColor="text1"/>
                <w:szCs w:val="21"/>
                <w:highlight w:val="none"/>
                <w14:textFill>
                  <w14:solidFill>
                    <w14:schemeClr w14:val="tx1"/>
                  </w14:solidFill>
                </w14:textFill>
              </w:rPr>
              <w:t>10</w:t>
            </w:r>
            <w:r>
              <w:rPr>
                <w:rFonts w:ascii="Times New Roman" w:hAnsi="Times New Roman" w:eastAsia="宋体" w:cs="Times New Roman"/>
                <w:color w:val="000000" w:themeColor="text1"/>
                <w:szCs w:val="21"/>
                <w:highlight w:val="none"/>
                <w14:textFill>
                  <w14:solidFill>
                    <w14:schemeClr w14:val="tx1"/>
                  </w14:solidFill>
                </w14:textFill>
              </w:rPr>
              <w:t>时</w:t>
            </w:r>
            <w:r>
              <w:rPr>
                <w:rFonts w:hint="eastAsia" w:ascii="Times New Roman" w:hAnsi="Times New Roman" w:eastAsia="宋体" w:cs="Times New Roman"/>
                <w:color w:val="000000" w:themeColor="text1"/>
                <w:szCs w:val="21"/>
                <w:highlight w:val="none"/>
                <w14:textFill>
                  <w14:solidFill>
                    <w14:schemeClr w14:val="tx1"/>
                  </w14:solidFill>
                </w14:textFill>
              </w:rPr>
              <w:t>00</w:t>
            </w:r>
            <w:r>
              <w:rPr>
                <w:rFonts w:ascii="Times New Roman" w:hAnsi="Times New Roman" w:eastAsia="宋体" w:cs="Times New Roman"/>
                <w:color w:val="000000" w:themeColor="text1"/>
                <w:szCs w:val="21"/>
                <w:highlight w:val="none"/>
                <w14:textFill>
                  <w14:solidFill>
                    <w14:schemeClr w14:val="tx1"/>
                  </w14:solidFill>
                </w14:textFill>
              </w:rPr>
              <w:t>分(北京时间)</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开标地点：</w:t>
            </w:r>
            <w:r>
              <w:rPr>
                <w:rFonts w:cs="KLRFJD+ËÎÌå" w:asciiTheme="minorEastAsia" w:hAnsiTheme="minorEastAsia"/>
                <w:color w:val="000000" w:themeColor="text1"/>
                <w:spacing w:val="-1"/>
                <w:highlight w:val="none"/>
                <w:lang w:val="ru-RU"/>
                <w14:textFill>
                  <w14:solidFill>
                    <w14:schemeClr w14:val="tx1"/>
                  </w14:solidFill>
                </w14:textFill>
              </w:rPr>
              <w:t>重庆市江北区五里店五简路2号重庆咨询大厦开标厅（详见A栋一楼指示屏）</w:t>
            </w:r>
            <w:r>
              <w:rPr>
                <w:rFonts w:cs="Times New Roman" w:asciiTheme="minorEastAsia" w:hAnsi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18.2</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开标会应由招标人或招标代理机构主持。开标程序详见“投标人须知”18.2。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19.1</w:t>
            </w:r>
          </w:p>
        </w:tc>
        <w:tc>
          <w:tcPr>
            <w:tcW w:w="8819" w:type="dxa"/>
            <w:gridSpan w:val="2"/>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19.2</w:t>
            </w:r>
          </w:p>
        </w:tc>
        <w:tc>
          <w:tcPr>
            <w:tcW w:w="8819" w:type="dxa"/>
            <w:gridSpan w:val="2"/>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评标方法，详见招标文件第三章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19.4</w:t>
            </w:r>
          </w:p>
        </w:tc>
        <w:tc>
          <w:tcPr>
            <w:tcW w:w="8819" w:type="dxa"/>
            <w:gridSpan w:val="2"/>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评标澄清，详见投标人须知19.4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19.5</w:t>
            </w:r>
          </w:p>
        </w:tc>
        <w:tc>
          <w:tcPr>
            <w:tcW w:w="8819" w:type="dxa"/>
            <w:gridSpan w:val="2"/>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中标候选人的推荐，详见第三章评标办法相关规定。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69" w:type="dxa"/>
            <w:gridSpan w:val="4"/>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七、评标结果及定标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8" w:type="dxa"/>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b/>
                <w:color w:val="000000" w:themeColor="text1"/>
                <w:szCs w:val="21"/>
                <w:highlight w:val="none"/>
                <w14:textFill>
                  <w14:solidFill>
                    <w14:schemeClr w14:val="tx1"/>
                  </w14:solidFill>
                </w14:textFill>
              </w:rPr>
              <w:t>20.1</w:t>
            </w:r>
          </w:p>
        </w:tc>
        <w:tc>
          <w:tcPr>
            <w:tcW w:w="8831" w:type="dxa"/>
            <w:gridSpan w:val="3"/>
            <w:vAlign w:val="center"/>
          </w:tcPr>
          <w:p>
            <w:pPr>
              <w:ind w:firstLine="48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招标人将在中国招标投标公共服务平台和</w:t>
            </w:r>
            <w:r>
              <w:rPr>
                <w:rFonts w:hint="eastAsia" w:cs="KLRFJD+ËÎÌå" w:asciiTheme="minorEastAsia" w:hAnsiTheme="minorEastAsia"/>
                <w:color w:val="000000" w:themeColor="text1"/>
                <w:spacing w:val="-1"/>
                <w:highlight w:val="none"/>
                <w:lang w:val="ru-RU"/>
                <w14:textFill>
                  <w14:solidFill>
                    <w14:schemeClr w14:val="tx1"/>
                  </w14:solidFill>
                </w14:textFill>
              </w:rPr>
              <w:t>重庆国际投资咨询集团</w:t>
            </w:r>
            <w:r>
              <w:rPr>
                <w:rFonts w:hint="eastAsia" w:cs="Times New Roman" w:asciiTheme="minorEastAsia" w:hAnsiTheme="minorEastAsia"/>
                <w:color w:val="000000" w:themeColor="text1"/>
                <w:szCs w:val="21"/>
                <w:highlight w:val="none"/>
                <w14:textFill>
                  <w14:solidFill>
                    <w14:schemeClr w14:val="tx1"/>
                  </w14:solidFill>
                </w14:textFill>
              </w:rPr>
              <w:t>网上</w:t>
            </w:r>
            <w:r>
              <w:rPr>
                <w:rFonts w:hint="eastAsia" w:ascii="Times New Roman" w:hAnsi="Times New Roman" w:eastAsia="宋体" w:cs="Times New Roman"/>
                <w:color w:val="000000" w:themeColor="text1"/>
                <w:szCs w:val="21"/>
                <w:highlight w:val="none"/>
                <w14:textFill>
                  <w14:solidFill>
                    <w14:schemeClr w14:val="tx1"/>
                  </w14:solidFill>
                </w14:textFill>
              </w:rPr>
              <w:t>公示中标候选人，开标后由投标人自行登录网站查询。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8" w:type="dxa"/>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21</w:t>
            </w:r>
          </w:p>
        </w:tc>
        <w:tc>
          <w:tcPr>
            <w:tcW w:w="8831" w:type="dxa"/>
            <w:gridSpan w:val="3"/>
            <w:vAlign w:val="center"/>
          </w:tcPr>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国有资金占控股或主导地位的依法必须招标的项目，招标人应当确定排名第一的中标候选人为中标人。排名第一的中标候选人放弃中标或因不可抗力不能履行合同或不按照招标文件要求提交履约保证金（如果有）或不按照招标文件要求提交低价履约担保（如果有）或不按照招标文件要求参加相关测试或相关测试未通过（如果有）或未在收到招标人或招标代理机构通知其领取中标通知书的3个工作日内领取中标通知书或被查实存在影响中标结果的违法行为等情形，不符合中标条件的，招标人可以按照以下情况确定中标人或重新招标：</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（1）如果招标文件中没有相关测试要求的项目：招标人可以按照评标委员会提出的中标候选人名单排序依次确定其他中标候选人为中标人，也可以重新招标。</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若依次确定其他中标候选人为中标人的，应遵循以下规则：</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1）第一中标候选人拟成交金额在100万以下的，排名靠后的中标候选人投标总报价不得超过前一名投标总报价的5%；</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2）第一中标候选人拟成交金额在100万（含）—200万（含）的，排名靠后的中标候选人投标总报价不得超过前一名投标总报价的4%；</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3）第一中标候选人拟成交金额在200万以上的，排名靠后的中标候选人投标总报价不得超过前一名投标总报价的3%；</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4）经招标人采购委审批同意的其他情形。</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不符合上述条件的，应重新组织采购。</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（2）如果招标文件中有相关测试要求的项目：</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1）参加相关测试：招标人应当确定排名第一的中标候选人为拟中标人，评标结果公示结束后无异议，招标人通知拟中标人按招标文件规定参与相关测试。</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2）确定中标人和发出中标通知书：拟中标人按期通过相关测试的，招标人确定其为中标人并向其发出中标通知书。</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3）领取中标通知书：中标人在收到招标人或招标代理机构通知其领取中标通知书的3个工作日内领取中标通知书。</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4）依序确定中标人或重新招标：</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若第一中标候选人能按招标文件要求按期通过相关测试并按时领取中标通知书，同时满足其他签约条件，方可签约。</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若第一中标候选人未能按招标文件要求按期通过相关测试或未按时领取中标通知书，则招标人有权选择依序确定中标人或者选择重新招标。</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选择依序确定中标人的程序如下：</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A、拟确定第二中标候选人为中标人的：第一中标候选人若未能按招标文件要求参与相关测试或未通过相关测试或未按时领取中标通知书，则取消其中标候选人资格，没收其投标保证金；招标人可以选择确定第二中标候选人为拟中标人或者选择重新招标。（若招标人选择确定第二中标候选人为拟中标人的，应遵循以下规则：</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a.第一中标候选人拟成交金额在100万以下的，第二中标候选人投标总报价不得超过前一名投标总报价的5%；</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b.第一中标候选人拟成交金额在100万（含）—200万（含）的，第二中标候选人投标总报价不得超过前一名投标总报价的4%；</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c.第一中标候选人拟成交金额在200万以上的，第二中标候选人投标总报价不得超过前一名投标总报价的3%；</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d.经招标人采购委审批同意的其他情形。</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不符合上述条件的，应重新组织采购。）</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若招标人选择依序确定第二中标候选人为拟中标人，第二中标候选人应按照招标人POC测试通知，遵循招标文件规定参与相关测试；若第二中标候选人按期通过相关测试并按时领取中标通知书，同时满足其他签约条件，方可签约。</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若第二中标候选人未能按招标文件要求参与相关测试或未通过相关测试或未按时领取中标通知书，则取消其中标候选人资格，没收其投标保证金；招标人有权选择依序确定第三中标候选人为拟中标人或者选择重新招标。</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B、拟确定第三中标候选人为中标人的：第一、第二中标候选人若皆未能按招标文件要求参与相关测试或未通过相关测试或未按时领取中标通知书，则取消其中标候选人资格，没收其投标保证金；招标人可以选择确定第三中标候选人为拟中标人或者选择重新招标。（若招标人选择确定第三中标候选人为拟中标人的，应遵循以下规则：</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a.第一中标候选人拟成交金额在100万以下的，第三中标候选人投标总报价不得超过前一名投标总报价的5%；</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b.第一中标候选人拟成交金额在100万（含）—200万（含）的，第三中标候选人投标总报价不得超过前一名投标总报价的4%；</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c.第一中标候选人拟成交金额在200万以上的，第三中标候选人投标总报价不得超过前一名投标总报价的3%；</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d.经招标人采购委审批同意的其他情形。</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不符合上述条件的，应重新组织采购。）</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若招标人选择依序确定第三中标候选人为拟中标人，第三中标候选人应按照招标人POC测试通知，遵循招标文件规定参与相关测试；若第三中标候选人按期通过相关测试并按时领取中标通知书，同时满足其他签约条件，方可签约。</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若第三中标候选人未能按招标文件要求参与相关测试或未通过相关测试或未按时领取中标通知书，则取消其中标候选人资格，没收其投标保证金，重新招标。</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注：可以不予退还投标保证金的情形：</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w:t>
            </w:r>
            <w:r>
              <w:rPr>
                <w:rFonts w:hint="eastAsia" w:ascii="Times New Roman" w:hAnsi="Times New Roman" w:eastAsia="宋体" w:cs="Times New Roman"/>
                <w:color w:val="000000" w:themeColor="text1"/>
                <w:szCs w:val="21"/>
                <w:highlight w:val="none"/>
                <w14:textFill>
                  <w14:solidFill>
                    <w14:schemeClr w14:val="tx1"/>
                  </w14:solidFill>
                </w14:textFill>
              </w:rPr>
              <w:tab/>
            </w:r>
            <w:r>
              <w:rPr>
                <w:rFonts w:hint="eastAsia" w:ascii="Times New Roman" w:hAnsi="Times New Roman" w:eastAsia="宋体" w:cs="Times New Roman"/>
                <w:color w:val="000000" w:themeColor="text1"/>
                <w:szCs w:val="21"/>
                <w:highlight w:val="none"/>
                <w14:textFill>
                  <w14:solidFill>
                    <w14:schemeClr w14:val="tx1"/>
                  </w14:solidFill>
                </w14:textFill>
              </w:rPr>
              <w:t>公示结束后，拟中标人不按招标文件规定参加相关测试（如果有）；</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w:t>
            </w:r>
            <w:r>
              <w:rPr>
                <w:rFonts w:hint="eastAsia" w:ascii="Times New Roman" w:hAnsi="Times New Roman" w:eastAsia="宋体" w:cs="Times New Roman"/>
                <w:color w:val="000000" w:themeColor="text1"/>
                <w:szCs w:val="21"/>
                <w:highlight w:val="none"/>
                <w14:textFill>
                  <w14:solidFill>
                    <w14:schemeClr w14:val="tx1"/>
                  </w14:solidFill>
                </w14:textFill>
              </w:rPr>
              <w:tab/>
            </w:r>
            <w:r>
              <w:rPr>
                <w:rFonts w:hint="eastAsia" w:ascii="Times New Roman" w:hAnsi="Times New Roman" w:eastAsia="宋体" w:cs="Times New Roman"/>
                <w:color w:val="000000" w:themeColor="text1"/>
                <w:szCs w:val="21"/>
                <w:highlight w:val="none"/>
                <w14:textFill>
                  <w14:solidFill>
                    <w14:schemeClr w14:val="tx1"/>
                  </w14:solidFill>
                </w14:textFill>
              </w:rPr>
              <w:t>拟中标人未能按照招标文件规定通过相关测试（如果有）；</w:t>
            </w:r>
          </w:p>
          <w:p>
            <w:pPr>
              <w:widowControl/>
              <w:spacing w:line="16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3、</w:t>
            </w:r>
            <w:r>
              <w:rPr>
                <w:rFonts w:hint="eastAsia" w:ascii="Times New Roman" w:hAnsi="Times New Roman" w:eastAsia="宋体" w:cs="Times New Roman"/>
                <w:color w:val="000000" w:themeColor="text1"/>
                <w:szCs w:val="21"/>
                <w:highlight w:val="none"/>
                <w14:textFill>
                  <w14:solidFill>
                    <w14:schemeClr w14:val="tx1"/>
                  </w14:solidFill>
                </w14:textFill>
              </w:rPr>
              <w:tab/>
            </w:r>
            <w:r>
              <w:rPr>
                <w:rFonts w:hint="eastAsia" w:ascii="Times New Roman" w:hAnsi="Times New Roman" w:eastAsia="宋体" w:cs="Times New Roman"/>
                <w:color w:val="000000" w:themeColor="text1"/>
                <w:szCs w:val="21"/>
                <w:highlight w:val="none"/>
                <w14:textFill>
                  <w14:solidFill>
                    <w14:schemeClr w14:val="tx1"/>
                  </w14:solidFill>
                </w14:textFill>
              </w:rPr>
              <w:t>中标人收到中标通知书领取通知后，未按照招标人的通知时限领取中标通知书。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4"/>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八、授予合同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22.1</w:t>
            </w:r>
          </w:p>
        </w:tc>
        <w:tc>
          <w:tcPr>
            <w:tcW w:w="8819" w:type="dxa"/>
            <w:gridSpan w:val="2"/>
            <w:vAlign w:val="center"/>
          </w:tcPr>
          <w:p>
            <w:pPr>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评标结果公示结束后无异议，招标人应当在确定中标人后5日内发出中标通知书；中标人应在收到招标人或招标代理机构通知其领取中标通知书的3个工作日内领取。中标通知书的发放方式如下：</w:t>
            </w:r>
          </w:p>
          <w:p>
            <w:pPr>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1）无POC测试的项目</w:t>
            </w:r>
          </w:p>
          <w:p>
            <w:pPr>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评标结果公示无异议后，招标代理机构通知招标人确定中标人并于5日内由招标人或招标代理机构向中标人发放中标通知书。</w:t>
            </w:r>
          </w:p>
          <w:p>
            <w:pPr>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2）有POC测试的项目</w:t>
            </w:r>
          </w:p>
          <w:p>
            <w:pPr>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评标结果公示无异议后，招标人按本章21条“定标”之规定进行POC测试并确定中标人，由招标人或招标代理机构向中标人发放中标通知书。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24.2</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1、履约担保金额：</w:t>
            </w:r>
            <w:r>
              <w:rPr>
                <w:rFonts w:hint="eastAsia" w:ascii="Times New Roman" w:hAnsi="Times New Roman" w:eastAsia="宋体" w:cs="Times New Roman"/>
                <w:color w:val="000000" w:themeColor="text1"/>
                <w:szCs w:val="21"/>
                <w:highlight w:val="none"/>
                <w14:textFill>
                  <w14:solidFill>
                    <w14:schemeClr w14:val="tx1"/>
                  </w14:solidFill>
                </w14:textFill>
              </w:rPr>
              <w:t>合同总金额的10%</w:t>
            </w:r>
            <w:r>
              <w:rPr>
                <w:rFonts w:ascii="Times New Roman" w:hAnsi="Times New Roman" w:eastAsia="宋体" w:cs="Times New Roman"/>
                <w:color w:val="000000" w:themeColor="text1"/>
                <w:szCs w:val="21"/>
                <w:highlight w:val="none"/>
                <w14:textFill>
                  <w14:solidFill>
                    <w14:schemeClr w14:val="tx1"/>
                  </w14:solidFill>
                </w14:textFill>
              </w:rPr>
              <w:t>；</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2、履约担保方式：银行转账支票、银行汇票；</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3、履约担保提交时间：中标人须收到中标通知书后</w:t>
            </w:r>
            <w:r>
              <w:rPr>
                <w:rFonts w:ascii="Times New Roman" w:hAnsi="Times New Roman" w:eastAsia="宋体" w:cs="Times New Roman"/>
                <w:color w:val="000000" w:themeColor="text1"/>
                <w:szCs w:val="21"/>
                <w:highlight w:val="none"/>
                <w:u w:val="single"/>
                <w14:textFill>
                  <w14:solidFill>
                    <w14:schemeClr w14:val="tx1"/>
                  </w14:solidFill>
                </w14:textFill>
              </w:rPr>
              <w:t>10</w:t>
            </w:r>
            <w:r>
              <w:rPr>
                <w:rFonts w:ascii="Times New Roman" w:hAnsi="Times New Roman" w:eastAsia="宋体" w:cs="Times New Roman"/>
                <w:color w:val="000000" w:themeColor="text1"/>
                <w:szCs w:val="21"/>
                <w:highlight w:val="none"/>
                <w14:textFill>
                  <w14:solidFill>
                    <w14:schemeClr w14:val="tx1"/>
                  </w14:solidFill>
                </w14:textFill>
              </w:rPr>
              <w:t>日内提交；</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（户名：重庆银行股份有限公司账号：999801011407008  开户行：重庆银行股份有限公司</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行号：313653000013）</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4、履约保证金退还时间：合同执行完毕，供应商如无违约行为，将一次性无息退还。如有违约，仅退还扣除违约金后的余额。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4"/>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九纪律、监督和投诉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.28</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投诉质疑，按照国家发改委等九部委[2013]23号令修改后的七部委11号令《工程建设项目招标投标活动投诉处理办法》的相关规定处理。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4"/>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十一、招标代理服务费及入场交易服务费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30.1</w:t>
            </w:r>
          </w:p>
        </w:tc>
        <w:tc>
          <w:tcPr>
            <w:tcW w:w="8819" w:type="dxa"/>
            <w:gridSpan w:val="2"/>
            <w:vAlign w:val="center"/>
          </w:tcPr>
          <w:p>
            <w:pPr>
              <w:tabs>
                <w:tab w:val="left" w:pos="1050"/>
                <w:tab w:val="left" w:pos="1470"/>
              </w:tabs>
              <w:ind w:firstLine="48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招标代理服务费收费标准：按照</w:t>
            </w:r>
            <w:r>
              <w:rPr>
                <w:rFonts w:hint="eastAsia" w:ascii="Times New Roman" w:hAnsi="Times New Roman" w:eastAsia="宋体" w:cs="Times New Roman"/>
                <w:color w:val="000000" w:themeColor="text1"/>
                <w:szCs w:val="21"/>
                <w:highlight w:val="none"/>
                <w14:textFill>
                  <w14:solidFill>
                    <w14:schemeClr w14:val="tx1"/>
                  </w14:solidFill>
                </w14:textFill>
              </w:rPr>
              <w:t>以下</w:t>
            </w:r>
            <w:r>
              <w:rPr>
                <w:rFonts w:ascii="Times New Roman" w:hAnsi="Times New Roman" w:eastAsia="宋体" w:cs="Times New Roman"/>
                <w:color w:val="000000" w:themeColor="text1"/>
                <w:szCs w:val="21"/>
                <w:highlight w:val="none"/>
                <w14:textFill>
                  <w14:solidFill>
                    <w14:schemeClr w14:val="tx1"/>
                  </w14:solidFill>
                </w14:textFill>
              </w:rPr>
              <w:t>“服务招标”所列费率执行，以中标</w:t>
            </w:r>
            <w:r>
              <w:rPr>
                <w:rFonts w:hint="eastAsia" w:ascii="Times New Roman" w:hAnsi="Times New Roman" w:eastAsia="宋体" w:cs="Times New Roman"/>
                <w:color w:val="000000" w:themeColor="text1"/>
                <w:szCs w:val="21"/>
                <w:highlight w:val="none"/>
                <w14:textFill>
                  <w14:solidFill>
                    <w14:schemeClr w14:val="tx1"/>
                  </w14:solidFill>
                </w14:textFill>
              </w:rPr>
              <w:t>的投标总报</w:t>
            </w:r>
            <w:r>
              <w:rPr>
                <w:rFonts w:ascii="Times New Roman" w:hAnsi="Times New Roman" w:eastAsia="宋体" w:cs="Times New Roman"/>
                <w:color w:val="000000" w:themeColor="text1"/>
                <w:szCs w:val="21"/>
                <w:highlight w:val="none"/>
                <w14:textFill>
                  <w14:solidFill>
                    <w14:schemeClr w14:val="tx1"/>
                  </w14:solidFill>
                </w14:textFill>
              </w:rPr>
              <w:t>价为计费基数</w:t>
            </w:r>
            <w:r>
              <w:rPr>
                <w:rFonts w:hint="eastAsia" w:ascii="Times New Roman" w:hAnsi="Times New Roman" w:eastAsia="宋体" w:cs="Times New Roman"/>
                <w:color w:val="000000" w:themeColor="text1"/>
                <w:szCs w:val="21"/>
                <w:highlight w:val="none"/>
                <w14:textFill>
                  <w14:solidFill>
                    <w14:schemeClr w14:val="tx1"/>
                  </w14:solidFill>
                </w14:textFill>
              </w:rPr>
              <w:t>计算（不足1.5万元的按1.5万元计）</w:t>
            </w:r>
            <w:r>
              <w:rPr>
                <w:rFonts w:ascii="Times New Roman" w:hAnsi="Times New Roman" w:eastAsia="宋体" w:cs="Times New Roman"/>
                <w:color w:val="000000" w:themeColor="text1"/>
                <w:szCs w:val="21"/>
                <w:highlight w:val="none"/>
                <w14:textFill>
                  <w14:solidFill>
                    <w14:schemeClr w14:val="tx1"/>
                  </w14:solidFill>
                </w14:textFill>
              </w:rPr>
              <w:t>，向招标机构缴纳招标代理服务费。</w:t>
            </w:r>
          </w:p>
          <w:tbl>
            <w:tblPr>
              <w:tblStyle w:val="58"/>
              <w:tblW w:w="6583" w:type="dxa"/>
              <w:jc w:val="center"/>
              <w:tblInd w:w="0" w:type="dxa"/>
              <w:tblLayout w:type="fixed"/>
              <w:tblCellMar>
                <w:top w:w="0" w:type="dxa"/>
                <w:left w:w="108" w:type="dxa"/>
                <w:bottom w:w="0" w:type="dxa"/>
                <w:right w:w="108" w:type="dxa"/>
              </w:tblCellMar>
            </w:tblPr>
            <w:tblGrid>
              <w:gridCol w:w="3503"/>
              <w:gridCol w:w="3080"/>
            </w:tblGrid>
            <w:tr>
              <w:tblPrEx>
                <w:tblLayout w:type="fixed"/>
                <w:tblCellMar>
                  <w:top w:w="0" w:type="dxa"/>
                  <w:left w:w="108" w:type="dxa"/>
                  <w:bottom w:w="0" w:type="dxa"/>
                  <w:right w:w="108" w:type="dxa"/>
                </w:tblCellMar>
              </w:tblPrEx>
              <w:trPr>
                <w:trHeight w:val="340"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招标代理服务费收费标准中标</w:t>
                  </w:r>
                  <w:r>
                    <w:rPr>
                      <w:rFonts w:hint="eastAsia" w:ascii="Times New Roman" w:hAnsi="Times New Roman" w:eastAsia="宋体" w:cs="Times New Roman"/>
                      <w:color w:val="000000" w:themeColor="text1"/>
                      <w:szCs w:val="21"/>
                      <w:highlight w:val="none"/>
                      <w14:textFill>
                        <w14:solidFill>
                          <w14:schemeClr w14:val="tx1"/>
                        </w14:solidFill>
                      </w14:textFill>
                    </w:rPr>
                    <w:t>金额</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招标类型</w:t>
                  </w:r>
                </w:p>
              </w:tc>
            </w:tr>
            <w:tr>
              <w:tblPrEx>
                <w:tblLayout w:type="fixed"/>
                <w:tblCellMar>
                  <w:top w:w="0" w:type="dxa"/>
                  <w:left w:w="108" w:type="dxa"/>
                  <w:bottom w:w="0" w:type="dxa"/>
                  <w:right w:w="108" w:type="dxa"/>
                </w:tblCellMar>
              </w:tblPrEx>
              <w:trPr>
                <w:trHeight w:val="360"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（万元）</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服务招标</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100以下</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1.5%</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100-500</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0.8%*</w:t>
                  </w:r>
                  <w:r>
                    <w:rPr>
                      <w:rFonts w:hint="eastAsia" w:ascii="Times New Roman" w:hAnsi="Times New Roman" w:eastAsia="宋体" w:cs="Times New Roman"/>
                      <w:color w:val="000000" w:themeColor="text1"/>
                      <w:szCs w:val="21"/>
                      <w:highlight w:val="none"/>
                      <w14:textFill>
                        <w14:solidFill>
                          <w14:schemeClr w14:val="tx1"/>
                        </w14:solidFill>
                      </w14:textFill>
                    </w:rPr>
                    <w:t>80</w:t>
                  </w:r>
                  <w:r>
                    <w:rPr>
                      <w:rFonts w:ascii="Times New Roman" w:hAnsi="Times New Roman" w:eastAsia="宋体" w:cs="Times New Roman"/>
                      <w:color w:val="000000" w:themeColor="text1"/>
                      <w:szCs w:val="21"/>
                      <w:highlight w:val="none"/>
                      <w14:textFill>
                        <w14:solidFill>
                          <w14:schemeClr w14:val="tx1"/>
                        </w14:solidFill>
                      </w14:textFill>
                    </w:rPr>
                    <w:t>%</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500-1000</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0.45%*</w:t>
                  </w:r>
                  <w:r>
                    <w:rPr>
                      <w:rFonts w:hint="eastAsia" w:ascii="Times New Roman" w:hAnsi="Times New Roman" w:eastAsia="宋体" w:cs="Times New Roman"/>
                      <w:color w:val="000000" w:themeColor="text1"/>
                      <w:szCs w:val="21"/>
                      <w:highlight w:val="none"/>
                      <w14:textFill>
                        <w14:solidFill>
                          <w14:schemeClr w14:val="tx1"/>
                        </w14:solidFill>
                      </w14:textFill>
                    </w:rPr>
                    <w:t>80</w:t>
                  </w:r>
                  <w:r>
                    <w:rPr>
                      <w:rFonts w:ascii="Times New Roman" w:hAnsi="Times New Roman" w:eastAsia="宋体" w:cs="Times New Roman"/>
                      <w:color w:val="000000" w:themeColor="text1"/>
                      <w:szCs w:val="21"/>
                      <w:highlight w:val="none"/>
                      <w14:textFill>
                        <w14:solidFill>
                          <w14:schemeClr w14:val="tx1"/>
                        </w14:solidFill>
                      </w14:textFill>
                    </w:rPr>
                    <w:t>%</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1000-5000</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0.25%*</w:t>
                  </w:r>
                  <w:r>
                    <w:rPr>
                      <w:rFonts w:hint="eastAsia" w:ascii="Times New Roman" w:hAnsi="Times New Roman" w:eastAsia="宋体" w:cs="Times New Roman"/>
                      <w:color w:val="000000" w:themeColor="text1"/>
                      <w:szCs w:val="21"/>
                      <w:highlight w:val="none"/>
                      <w14:textFill>
                        <w14:solidFill>
                          <w14:schemeClr w14:val="tx1"/>
                        </w14:solidFill>
                      </w14:textFill>
                    </w:rPr>
                    <w:t>80</w:t>
                  </w:r>
                  <w:r>
                    <w:rPr>
                      <w:rFonts w:ascii="Times New Roman" w:hAnsi="Times New Roman" w:eastAsia="宋体" w:cs="Times New Roman"/>
                      <w:color w:val="000000" w:themeColor="text1"/>
                      <w:szCs w:val="21"/>
                      <w:highlight w:val="none"/>
                      <w14:textFill>
                        <w14:solidFill>
                          <w14:schemeClr w14:val="tx1"/>
                        </w14:solidFill>
                      </w14:textFill>
                    </w:rPr>
                    <w:t>%</w:t>
                  </w:r>
                </w:p>
              </w:tc>
            </w:tr>
          </w:tbl>
          <w:p>
            <w:pPr>
              <w:tabs>
                <w:tab w:val="left" w:pos="1050"/>
                <w:tab w:val="left" w:pos="1470"/>
              </w:tabs>
              <w:ind w:firstLine="48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1、招标代理服务费支付：按招标文件约定，由中标人支付。</w:t>
            </w:r>
          </w:p>
          <w:p>
            <w:pPr>
              <w:ind w:firstLine="48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2、招标代理服务费支付时间：中标人在领取中标通知书时，向招标机构一次性支付招标代理服务费。</w:t>
            </w:r>
          </w:p>
          <w:p>
            <w:pPr>
              <w:ind w:firstLine="48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注:招标代理费收费按差额定率累进法计算。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w:t>
            </w:r>
            <w:r>
              <w:rPr>
                <w:rFonts w:hint="eastAsia" w:ascii="Times New Roman" w:hAnsi="Times New Roman" w:eastAsia="宋体" w:cs="Times New Roman"/>
                <w:color w:val="000000" w:themeColor="text1"/>
                <w:szCs w:val="21"/>
                <w:highlight w:val="none"/>
                <w14:textFill>
                  <w14:solidFill>
                    <w14:schemeClr w14:val="tx1"/>
                  </w14:solidFill>
                </w14:textFill>
              </w:rPr>
              <w:t>1</w:t>
            </w:r>
          </w:p>
        </w:tc>
        <w:tc>
          <w:tcPr>
            <w:tcW w:w="8819" w:type="dxa"/>
            <w:gridSpan w:val="2"/>
            <w:vAlign w:val="center"/>
          </w:tcPr>
          <w:p>
            <w:pPr>
              <w:ind w:firstLine="36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招标文件每套售价500元（递交投标文件时支付招标文件的费用），售后不退。未购买招标文件的投标人，招标人和招标代理机构将不予接受其投标文件。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869" w:type="dxa"/>
            <w:gridSpan w:val="4"/>
            <w:vAlign w:val="center"/>
          </w:tcPr>
          <w:p>
            <w:pPr>
              <w:ind w:firstLine="361"/>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十二、其他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w:t>
            </w:r>
            <w:r>
              <w:rPr>
                <w:rFonts w:hint="eastAsia" w:ascii="Times New Roman" w:hAnsi="Times New Roman" w:eastAsia="宋体" w:cs="Times New Roman"/>
                <w:color w:val="000000" w:themeColor="text1"/>
                <w:szCs w:val="21"/>
                <w:highlight w:val="none"/>
                <w14:textFill>
                  <w14:solidFill>
                    <w14:schemeClr w14:val="tx1"/>
                  </w14:solidFill>
                </w14:textFill>
              </w:rPr>
              <w:t>2</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开标时，请投标人携带</w:t>
            </w:r>
            <w:r>
              <w:rPr>
                <w:rFonts w:hint="eastAsia" w:ascii="Times New Roman" w:hAnsi="Times New Roman" w:eastAsia="宋体" w:cs="Times New Roman"/>
                <w:b/>
                <w:color w:val="000000" w:themeColor="text1"/>
                <w:szCs w:val="21"/>
                <w:highlight w:val="none"/>
                <w14:textFill>
                  <w14:solidFill>
                    <w14:schemeClr w14:val="tx1"/>
                  </w14:solidFill>
                </w14:textFill>
              </w:rPr>
              <w:t>招标</w:t>
            </w:r>
            <w:r>
              <w:rPr>
                <w:rFonts w:ascii="Times New Roman" w:hAnsi="Times New Roman" w:eastAsia="宋体" w:cs="Times New Roman"/>
                <w:b/>
                <w:color w:val="000000" w:themeColor="text1"/>
                <w:szCs w:val="21"/>
                <w:highlight w:val="none"/>
                <w14:textFill>
                  <w14:solidFill>
                    <w14:schemeClr w14:val="tx1"/>
                  </w14:solidFill>
                </w14:textFill>
              </w:rPr>
              <w:t>文件</w:t>
            </w:r>
            <w:r>
              <w:rPr>
                <w:rFonts w:hint="eastAsia" w:ascii="Times New Roman" w:hAnsi="Times New Roman" w:eastAsia="宋体" w:cs="Times New Roman"/>
                <w:b/>
                <w:color w:val="000000" w:themeColor="text1"/>
                <w:szCs w:val="21"/>
                <w:highlight w:val="none"/>
                <w14:textFill>
                  <w14:solidFill>
                    <w14:schemeClr w14:val="tx1"/>
                  </w14:solidFill>
                </w14:textFill>
              </w:rPr>
              <w:t>所要求</w:t>
            </w:r>
            <w:r>
              <w:rPr>
                <w:rFonts w:ascii="Times New Roman" w:hAnsi="Times New Roman" w:eastAsia="宋体" w:cs="Times New Roman"/>
                <w:b/>
                <w:color w:val="000000" w:themeColor="text1"/>
                <w:szCs w:val="21"/>
                <w:highlight w:val="none"/>
                <w14:textFill>
                  <w14:solidFill>
                    <w14:schemeClr w14:val="tx1"/>
                  </w14:solidFill>
                </w14:textFill>
              </w:rPr>
              <w:t>的</w:t>
            </w:r>
            <w:r>
              <w:rPr>
                <w:rFonts w:hint="eastAsia" w:ascii="Times New Roman" w:hAnsi="Times New Roman" w:eastAsia="宋体" w:cs="Times New Roman"/>
                <w:b/>
                <w:color w:val="000000" w:themeColor="text1"/>
                <w:szCs w:val="21"/>
                <w:highlight w:val="none"/>
                <w14:textFill>
                  <w14:solidFill>
                    <w14:schemeClr w14:val="tx1"/>
                  </w14:solidFill>
                </w14:textFill>
              </w:rPr>
              <w:t>相关</w:t>
            </w:r>
            <w:r>
              <w:rPr>
                <w:rFonts w:ascii="Times New Roman" w:hAnsi="Times New Roman" w:eastAsia="宋体" w:cs="Times New Roman"/>
                <w:b/>
                <w:color w:val="000000" w:themeColor="text1"/>
                <w:szCs w:val="21"/>
                <w:highlight w:val="none"/>
                <w14:textFill>
                  <w14:solidFill>
                    <w14:schemeClr w14:val="tx1"/>
                  </w14:solidFill>
                </w14:textFill>
              </w:rPr>
              <w:t>证明资料</w:t>
            </w:r>
            <w:r>
              <w:rPr>
                <w:rFonts w:hint="eastAsia" w:ascii="Times New Roman" w:hAnsi="Times New Roman" w:eastAsia="宋体" w:cs="Times New Roman"/>
                <w:b/>
                <w:color w:val="000000" w:themeColor="text1"/>
                <w:szCs w:val="21"/>
                <w:highlight w:val="none"/>
                <w14:textFill>
                  <w14:solidFill>
                    <w14:schemeClr w14:val="tx1"/>
                  </w14:solidFill>
                </w14:textFill>
              </w:rPr>
              <w:t>的</w:t>
            </w:r>
            <w:r>
              <w:rPr>
                <w:rFonts w:ascii="Times New Roman" w:hAnsi="Times New Roman" w:eastAsia="宋体" w:cs="Times New Roman"/>
                <w:b/>
                <w:color w:val="000000" w:themeColor="text1"/>
                <w:szCs w:val="21"/>
                <w:highlight w:val="none"/>
                <w14:textFill>
                  <w14:solidFill>
                    <w14:schemeClr w14:val="tx1"/>
                  </w14:solidFill>
                </w14:textFill>
              </w:rPr>
              <w:t>原件，以备查验。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w:t>
            </w:r>
            <w:r>
              <w:rPr>
                <w:rFonts w:hint="eastAsia" w:ascii="Times New Roman" w:hAnsi="Times New Roman" w:eastAsia="宋体" w:cs="Times New Roman"/>
                <w:color w:val="000000" w:themeColor="text1"/>
                <w:szCs w:val="21"/>
                <w:highlight w:val="none"/>
                <w14:textFill>
                  <w14:solidFill>
                    <w14:schemeClr w14:val="tx1"/>
                  </w14:solidFill>
                </w14:textFill>
              </w:rPr>
              <w:t>3</w:t>
            </w:r>
          </w:p>
        </w:tc>
        <w:tc>
          <w:tcPr>
            <w:tcW w:w="8819" w:type="dxa"/>
            <w:gridSpan w:val="2"/>
            <w:vAlign w:val="center"/>
          </w:tcPr>
          <w:p>
            <w:pP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投标人应保证投标文件中的相关证明资料清晰可辨，否则由此引起的后果由投标人自负。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w:t>
            </w:r>
            <w:r>
              <w:rPr>
                <w:rFonts w:hint="eastAsia" w:ascii="Times New Roman" w:hAnsi="Times New Roman" w:eastAsia="宋体" w:cs="Times New Roman"/>
                <w:color w:val="000000" w:themeColor="text1"/>
                <w:szCs w:val="21"/>
                <w:highlight w:val="none"/>
                <w14:textFill>
                  <w14:solidFill>
                    <w14:schemeClr w14:val="tx1"/>
                  </w14:solidFill>
                </w14:textFill>
              </w:rPr>
              <w:t>4</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w:t>
            </w:r>
            <w:r>
              <w:rPr>
                <w:rFonts w:ascii="Times New Roman" w:hAnsi="Times New Roman" w:eastAsia="宋体" w:cs="Times New Roman"/>
                <w:color w:val="000000" w:themeColor="text1"/>
                <w:szCs w:val="21"/>
                <w:highlight w:val="none"/>
                <w14:textFill>
                  <w14:solidFill>
                    <w14:schemeClr w14:val="tx1"/>
                  </w14:solidFill>
                </w14:textFill>
              </w:rPr>
              <w:t>本招标文件中提及产品品牌（如有），均为供投标人投标参考，非指定产品品牌。</w:t>
            </w:r>
          </w:p>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 本招标文件中要求加盖单位公章的表述，均指加盖该单位的法定名称章（非投标专用章等）且为鲜公章。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050"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w:t>
            </w:r>
            <w:r>
              <w:rPr>
                <w:rFonts w:hint="eastAsia" w:ascii="Times New Roman" w:hAnsi="Times New Roman" w:eastAsia="宋体" w:cs="Times New Roman"/>
                <w:color w:val="000000" w:themeColor="text1"/>
                <w:szCs w:val="21"/>
                <w:highlight w:val="none"/>
                <w14:textFill>
                  <w14:solidFill>
                    <w14:schemeClr w14:val="tx1"/>
                  </w14:solidFill>
                </w14:textFill>
              </w:rPr>
              <w:t>5</w:t>
            </w:r>
          </w:p>
        </w:tc>
        <w:tc>
          <w:tcPr>
            <w:tcW w:w="8819" w:type="dxa"/>
            <w:gridSpan w:val="2"/>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第五章项目需求里出现的</w:t>
            </w:r>
            <w:r>
              <w:rPr>
                <w:rFonts w:hint="eastAsia" w:ascii="Times New Roman" w:hAnsi="Times New Roman" w:eastAsia="宋体" w:cs="Times New Roman"/>
                <w:color w:val="000000" w:themeColor="text1"/>
                <w:szCs w:val="21"/>
                <w:highlight w:val="none"/>
                <w14:textFill>
                  <w14:solidFill>
                    <w14:schemeClr w14:val="tx1"/>
                  </w14:solidFill>
                </w14:textFill>
              </w:rPr>
              <w:t>“供应商”、</w:t>
            </w:r>
            <w:r>
              <w:rPr>
                <w:rFonts w:ascii="Times New Roman" w:hAnsi="Times New Roman" w:eastAsia="宋体" w:cs="Times New Roman"/>
                <w:color w:val="000000" w:themeColor="text1"/>
                <w:szCs w:val="21"/>
                <w:highlight w:val="none"/>
                <w14:textFill>
                  <w14:solidFill>
                    <w14:schemeClr w14:val="tx1"/>
                  </w14:solidFill>
                </w14:textFill>
              </w:rPr>
              <w:t>“外包商”</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“外包投标人”</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“乙方”</w:t>
            </w:r>
            <w:r>
              <w:rPr>
                <w:rFonts w:hint="eastAsia" w:ascii="Times New Roman" w:hAnsi="Times New Roman" w:eastAsia="宋体" w:cs="Times New Roman"/>
                <w:color w:val="000000" w:themeColor="text1"/>
                <w:szCs w:val="21"/>
                <w:highlight w:val="none"/>
                <w14:textFill>
                  <w14:solidFill>
                    <w14:schemeClr w14:val="tx1"/>
                  </w14:solidFill>
                </w14:textFill>
              </w:rPr>
              <w:t>、“实施方”，</w:t>
            </w:r>
            <w:r>
              <w:rPr>
                <w:rFonts w:ascii="Times New Roman" w:hAnsi="Times New Roman" w:eastAsia="宋体" w:cs="Times New Roman"/>
                <w:color w:val="000000" w:themeColor="text1"/>
                <w:szCs w:val="21"/>
                <w:highlight w:val="none"/>
                <w14:textFill>
                  <w14:solidFill>
                    <w14:schemeClr w14:val="tx1"/>
                  </w14:solidFill>
                </w14:textFill>
              </w:rPr>
              <w:t>在招标阶段均表示“投标人”。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69" w:type="dxa"/>
            <w:gridSpan w:val="4"/>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若投标人须知前附表与正文不一致的，以前附表为准。</w:t>
            </w:r>
          </w:p>
        </w:tc>
      </w:tr>
    </w:tbl>
    <w:p>
      <w:pPr>
        <w:adjustRightInd w:val="0"/>
        <w:snapToGrid w:val="0"/>
        <w:spacing w:line="500" w:lineRule="atLeast"/>
        <w:jc w:val="center"/>
        <w:rPr>
          <w:rFonts w:ascii="Times New Roman" w:hAnsi="Times New Roman" w:eastAsia="宋体" w:cs="Times New Roman"/>
          <w:color w:val="000000" w:themeColor="text1"/>
          <w:sz w:val="24"/>
          <w:szCs w:val="24"/>
          <w:highlight w:val="none"/>
          <w14:textFill>
            <w14:solidFill>
              <w14:schemeClr w14:val="tx1"/>
            </w14:solidFill>
          </w14:textFill>
        </w:rPr>
        <w:sectPr>
          <w:pgSz w:w="11906" w:h="16838"/>
          <w:pgMar w:top="1440" w:right="1466" w:bottom="1276" w:left="1800" w:header="851" w:footer="992" w:gutter="0"/>
          <w:cols w:space="720" w:num="1"/>
          <w:docGrid w:type="linesAndChars" w:linePitch="312" w:charSpace="0"/>
        </w:sectPr>
      </w:pPr>
    </w:p>
    <w:p>
      <w:pPr>
        <w:keepNext/>
        <w:keepLines/>
        <w:numPr>
          <w:ilvl w:val="1"/>
          <w:numId w:val="0"/>
        </w:numPr>
        <w:tabs>
          <w:tab w:val="left" w:pos="708"/>
        </w:tabs>
        <w:snapToGrid w:val="0"/>
        <w:spacing w:before="156" w:after="156" w:line="400" w:lineRule="atLeast"/>
        <w:jc w:val="center"/>
        <w:outlineLvl w:val="1"/>
        <w:rPr>
          <w:rFonts w:ascii="Times New Roman" w:hAnsi="Times New Roman" w:eastAsia="宋体" w:cs="Times New Roman"/>
          <w:b/>
          <w:bCs/>
          <w:color w:val="000000" w:themeColor="text1"/>
          <w:kern w:val="0"/>
          <w:sz w:val="30"/>
          <w:szCs w:val="30"/>
          <w:highlight w:val="none"/>
          <w14:textFill>
            <w14:solidFill>
              <w14:schemeClr w14:val="tx1"/>
            </w14:solidFill>
          </w14:textFill>
        </w:rPr>
      </w:pPr>
      <w:bookmarkStart w:id="4" w:name="_Toc380414613"/>
      <w:bookmarkStart w:id="5" w:name="_Toc32653"/>
      <w:bookmarkStart w:id="6" w:name="_Toc345936711"/>
      <w:bookmarkStart w:id="7" w:name="_Toc344406117"/>
      <w:bookmarkStart w:id="8" w:name="_Toc317837577"/>
      <w:bookmarkStart w:id="9" w:name="_Toc345343633"/>
      <w:bookmarkStart w:id="10" w:name="_Toc317551042"/>
      <w:r>
        <w:rPr>
          <w:rFonts w:ascii="Times New Roman" w:hAnsi="Times New Roman" w:eastAsia="宋体" w:cs="Times New Roman"/>
          <w:b/>
          <w:bCs/>
          <w:color w:val="000000" w:themeColor="text1"/>
          <w:kern w:val="0"/>
          <w:sz w:val="30"/>
          <w:szCs w:val="30"/>
          <w:highlight w:val="none"/>
          <w14:textFill>
            <w14:solidFill>
              <w14:schemeClr w14:val="tx1"/>
            </w14:solidFill>
          </w14:textFill>
        </w:rPr>
        <w:t>第二节投标人须知</w:t>
      </w:r>
      <w:bookmarkEnd w:id="4"/>
      <w:bookmarkEnd w:id="5"/>
      <w:bookmarkEnd w:id="6"/>
    </w:p>
    <w:p>
      <w:pPr>
        <w:rPr>
          <w:rFonts w:ascii="Times New Roman" w:hAnsi="Times New Roman" w:eastAsia="宋体" w:cs="Times New Roman"/>
          <w:color w:val="000000" w:themeColor="text1"/>
          <w:highlight w:val="none"/>
          <w14:textFill>
            <w14:solidFill>
              <w14:schemeClr w14:val="tx1"/>
            </w14:solidFill>
          </w14:textFill>
        </w:rPr>
      </w:pPr>
    </w:p>
    <w:bookmarkEnd w:id="7"/>
    <w:bookmarkEnd w:id="8"/>
    <w:bookmarkEnd w:id="9"/>
    <w:bookmarkEnd w:id="10"/>
    <w:p>
      <w:pPr>
        <w:jc w:val="center"/>
        <w:rPr>
          <w:rFonts w:ascii="Times New Roman" w:hAnsi="Times New Roman" w:eastAsia="宋体" w:cs="Times New Roman"/>
          <w:b/>
          <w:color w:val="000000" w:themeColor="text1"/>
          <w:sz w:val="28"/>
          <w:szCs w:val="32"/>
          <w:highlight w:val="none"/>
          <w14:textFill>
            <w14:solidFill>
              <w14:schemeClr w14:val="tx1"/>
            </w14:solidFill>
          </w14:textFill>
        </w:rPr>
      </w:pPr>
      <w:r>
        <w:rPr>
          <w:rFonts w:hint="eastAsia" w:ascii="Times New Roman" w:hAnsi="Times New Roman" w:eastAsia="宋体" w:cs="Times New Roman"/>
          <w:b/>
          <w:color w:val="000000" w:themeColor="text1"/>
          <w:sz w:val="28"/>
          <w:szCs w:val="32"/>
          <w:highlight w:val="none"/>
          <w14:textFill>
            <w14:solidFill>
              <w14:schemeClr w14:val="tx1"/>
            </w14:solidFill>
          </w14:textFill>
        </w:rPr>
        <w:t>一</w:t>
      </w:r>
      <w:r>
        <w:rPr>
          <w:rFonts w:ascii="Times New Roman" w:hAnsi="Times New Roman" w:eastAsia="宋体" w:cs="Times New Roman"/>
          <w:b/>
          <w:color w:val="000000" w:themeColor="text1"/>
          <w:sz w:val="28"/>
          <w:szCs w:val="32"/>
          <w:highlight w:val="none"/>
          <w14:textFill>
            <w14:solidFill>
              <w14:schemeClr w14:val="tx1"/>
            </w14:solidFill>
          </w14:textFill>
        </w:rPr>
        <w:t>、说明</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1．招标项目相关情况说明</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1.1招标人：详见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1.2招标代理机构（以下简称招标机构）：详见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1.3.项目名称、项目地点：详见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1.4资金来源及出资比例：详见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1.5服务内容：详见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1.6服务期限：详见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1.7付款方式：详见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jc w:val="center"/>
        <w:rPr>
          <w:rFonts w:ascii="Times New Roman" w:hAnsi="Times New Roman" w:eastAsia="宋体" w:cs="Times New Roman"/>
          <w:b/>
          <w:color w:val="000000" w:themeColor="text1"/>
          <w:sz w:val="28"/>
          <w:szCs w:val="32"/>
          <w:highlight w:val="none"/>
          <w14:textFill>
            <w14:solidFill>
              <w14:schemeClr w14:val="tx1"/>
            </w14:solidFill>
          </w14:textFill>
        </w:rPr>
      </w:pPr>
      <w:bookmarkStart w:id="11" w:name="_Toc370978585"/>
      <w:bookmarkStart w:id="12" w:name="_Toc370738915"/>
      <w:bookmarkStart w:id="13" w:name="_Toc356889595"/>
      <w:r>
        <w:rPr>
          <w:rFonts w:hint="eastAsia" w:ascii="Times New Roman" w:hAnsi="Times New Roman" w:eastAsia="宋体" w:cs="Times New Roman"/>
          <w:b/>
          <w:color w:val="000000" w:themeColor="text1"/>
          <w:sz w:val="28"/>
          <w:szCs w:val="32"/>
          <w:highlight w:val="none"/>
          <w14:textFill>
            <w14:solidFill>
              <w14:schemeClr w14:val="tx1"/>
            </w14:solidFill>
          </w14:textFill>
        </w:rPr>
        <w:t>二</w:t>
      </w:r>
      <w:r>
        <w:rPr>
          <w:rFonts w:ascii="Times New Roman" w:hAnsi="Times New Roman" w:eastAsia="宋体" w:cs="Times New Roman"/>
          <w:b/>
          <w:color w:val="000000" w:themeColor="text1"/>
          <w:sz w:val="28"/>
          <w:szCs w:val="32"/>
          <w:highlight w:val="none"/>
          <w14:textFill>
            <w14:solidFill>
              <w14:schemeClr w14:val="tx1"/>
            </w14:solidFill>
          </w14:textFill>
        </w:rPr>
        <w:t>、投标人</w:t>
      </w:r>
      <w:bookmarkEnd w:id="11"/>
      <w:bookmarkEnd w:id="12"/>
      <w:bookmarkEnd w:id="13"/>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14" w:name="_Toc370738916"/>
      <w:bookmarkStart w:id="15" w:name="_Toc356889596"/>
      <w:bookmarkStart w:id="16" w:name="_Toc370978586"/>
      <w:r>
        <w:rPr>
          <w:rFonts w:ascii="Times New Roman" w:hAnsi="Times New Roman" w:eastAsia="宋体" w:cs="Times New Roman"/>
          <w:b/>
          <w:color w:val="000000" w:themeColor="text1"/>
          <w:sz w:val="28"/>
          <w:szCs w:val="24"/>
          <w:highlight w:val="none"/>
          <w14:textFill>
            <w14:solidFill>
              <w14:schemeClr w14:val="tx1"/>
            </w14:solidFill>
          </w14:textFill>
        </w:rPr>
        <w:t>2.投标人资格及要求</w:t>
      </w:r>
      <w:bookmarkEnd w:id="14"/>
      <w:bookmarkEnd w:id="15"/>
      <w:bookmarkEnd w:id="16"/>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2.1投标人应遵守《中华人民共和国招标投标法》、《中华人民共和国招标投标法实施条例》及国家和地方有关的法律、法规。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2.2有下列情形之一的潜在投标人，不得参与投标：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2.2.1与招标人存在利害关系可能影响招标公正性的法人、其他组织或者个人，不得参加投标。单位负责人为同一人或者存在控股、管理关系的不同单位，不得参加同一分包或者未划分包的同一招标项目投标；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2.2.2与招标人或招标代理机构有控股关系；</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2.2.3被有关行政部门暂停投标资格期限未满的。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2.3对投标人的其它资格要求：详见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2.4投标人须知前附表规定接受联合体投标的，除应符合</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第2.6条的要求外，还应遵守以下规定：</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（1）联合体各方应提供联合体协议书，明确联合体牵头人和各方权利义务；</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（2）由同一专业的投标人组成的联合体，按照资质等级较低的投标人确定资质等级；</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（3）联合体各方不得再以自己名义单独投标或参加其他联合体在同一分包中投标。</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17" w:name="_Toc356889597"/>
      <w:bookmarkStart w:id="18" w:name="_Toc370978587"/>
      <w:bookmarkStart w:id="19" w:name="_Toc370738917"/>
      <w:r>
        <w:rPr>
          <w:rFonts w:ascii="Times New Roman" w:hAnsi="Times New Roman" w:eastAsia="宋体" w:cs="Times New Roman"/>
          <w:b/>
          <w:color w:val="000000" w:themeColor="text1"/>
          <w:sz w:val="28"/>
          <w:szCs w:val="24"/>
          <w:highlight w:val="none"/>
          <w14:textFill>
            <w14:solidFill>
              <w14:schemeClr w14:val="tx1"/>
            </w14:solidFill>
          </w14:textFill>
        </w:rPr>
        <w:t>3.投标费用</w:t>
      </w:r>
      <w:bookmarkEnd w:id="17"/>
      <w:bookmarkEnd w:id="18"/>
      <w:bookmarkEnd w:id="19"/>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3.1投标人应自行承担所有参加投标的全部费用。不论投标的结果如何，招标人或招标机构均无义务或责任承担这些费用。</w:t>
      </w:r>
    </w:p>
    <w:p>
      <w:pPr>
        <w:jc w:val="center"/>
        <w:rPr>
          <w:rFonts w:ascii="Times New Roman" w:hAnsi="Times New Roman" w:eastAsia="宋体" w:cs="Times New Roman"/>
          <w:b/>
          <w:color w:val="000000" w:themeColor="text1"/>
          <w:sz w:val="28"/>
          <w:szCs w:val="32"/>
          <w:highlight w:val="none"/>
          <w14:textFill>
            <w14:solidFill>
              <w14:schemeClr w14:val="tx1"/>
            </w14:solidFill>
          </w14:textFill>
        </w:rPr>
      </w:pPr>
      <w:bookmarkStart w:id="20" w:name="_Toc370978588"/>
      <w:bookmarkStart w:id="21" w:name="_Toc356889598"/>
      <w:bookmarkStart w:id="22" w:name="_Toc370738918"/>
      <w:r>
        <w:rPr>
          <w:rFonts w:hint="eastAsia" w:ascii="Times New Roman" w:hAnsi="Times New Roman" w:eastAsia="宋体" w:cs="Times New Roman"/>
          <w:b/>
          <w:color w:val="000000" w:themeColor="text1"/>
          <w:sz w:val="28"/>
          <w:szCs w:val="32"/>
          <w:highlight w:val="none"/>
          <w14:textFill>
            <w14:solidFill>
              <w14:schemeClr w14:val="tx1"/>
            </w14:solidFill>
          </w14:textFill>
        </w:rPr>
        <w:t>三</w:t>
      </w:r>
      <w:r>
        <w:rPr>
          <w:rFonts w:ascii="Times New Roman" w:hAnsi="Times New Roman" w:eastAsia="宋体" w:cs="Times New Roman"/>
          <w:b/>
          <w:color w:val="000000" w:themeColor="text1"/>
          <w:sz w:val="28"/>
          <w:szCs w:val="32"/>
          <w:highlight w:val="none"/>
          <w14:textFill>
            <w14:solidFill>
              <w14:schemeClr w14:val="tx1"/>
            </w14:solidFill>
          </w14:textFill>
        </w:rPr>
        <w:t>、招标文件</w:t>
      </w:r>
      <w:bookmarkEnd w:id="20"/>
      <w:bookmarkEnd w:id="21"/>
      <w:bookmarkEnd w:id="22"/>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23" w:name="_Toc370978589"/>
      <w:bookmarkStart w:id="24" w:name="_Toc370738919"/>
      <w:bookmarkStart w:id="25" w:name="_Toc356889599"/>
      <w:r>
        <w:rPr>
          <w:rFonts w:ascii="Times New Roman" w:hAnsi="Times New Roman" w:eastAsia="宋体" w:cs="Times New Roman"/>
          <w:b/>
          <w:color w:val="000000" w:themeColor="text1"/>
          <w:sz w:val="28"/>
          <w:szCs w:val="24"/>
          <w:highlight w:val="none"/>
          <w14:textFill>
            <w14:solidFill>
              <w14:schemeClr w14:val="tx1"/>
            </w14:solidFill>
          </w14:textFill>
        </w:rPr>
        <w:t>4.招标文件</w:t>
      </w:r>
      <w:bookmarkEnd w:id="23"/>
      <w:bookmarkEnd w:id="24"/>
      <w:bookmarkEnd w:id="25"/>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4.1招标文件的组成：</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（1）招标公告</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（2）投标人须知前附表</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（3）投标人须知</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（4）评标方法前附表</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（5）评标方法</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（6）合同条款及格式</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（7）项目需求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（8）投标文件格式</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（9）招标人对招标文件所作的答疑、补遗、澄清、修改。</w:t>
      </w:r>
    </w:p>
    <w:p>
      <w:pPr>
        <w:tabs>
          <w:tab w:val="left" w:pos="1050"/>
          <w:tab w:val="left" w:pos="1470"/>
        </w:tabs>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4.2投标人应详细阅读招标文件的全部内容，须按招标文件的要求提供投标文件和相关资料。</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26" w:name="_Toc370738920"/>
      <w:bookmarkStart w:id="27" w:name="_Toc356889600"/>
      <w:bookmarkStart w:id="28" w:name="_Toc370978590"/>
      <w:r>
        <w:rPr>
          <w:rFonts w:ascii="Times New Roman" w:hAnsi="Times New Roman" w:eastAsia="宋体" w:cs="Times New Roman"/>
          <w:b/>
          <w:color w:val="000000" w:themeColor="text1"/>
          <w:sz w:val="28"/>
          <w:szCs w:val="24"/>
          <w:highlight w:val="none"/>
          <w14:textFill>
            <w14:solidFill>
              <w14:schemeClr w14:val="tx1"/>
            </w14:solidFill>
          </w14:textFill>
        </w:rPr>
        <w:t>5.招标文件的质疑和澄清</w:t>
      </w:r>
      <w:bookmarkEnd w:id="26"/>
      <w:bookmarkEnd w:id="27"/>
      <w:bookmarkEnd w:id="28"/>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bookmarkStart w:id="29" w:name="_Toc370978591"/>
      <w:bookmarkStart w:id="30" w:name="_Toc370738921"/>
      <w:bookmarkStart w:id="31" w:name="_Toc356889601"/>
      <w:r>
        <w:rPr>
          <w:rFonts w:ascii="Times New Roman" w:hAnsi="Times New Roman" w:eastAsia="宋体" w:cs="Times New Roman"/>
          <w:color w:val="000000" w:themeColor="text1"/>
          <w:sz w:val="24"/>
          <w:szCs w:val="24"/>
          <w:highlight w:val="none"/>
          <w14:textFill>
            <w14:solidFill>
              <w14:schemeClr w14:val="tx1"/>
            </w14:solidFill>
          </w14:textFill>
        </w:rPr>
        <w:t>5.1投标人应自行下载招标文件及所有资料，并认真仔细阅读招标文件中所有的事项、条款、格式和技术要求及规格等全部内容，投标人没有按照招标文件要求提交全部资料，或者投标文件没有对招标文件作出实质性响应，是投标人的风险，并可能导致其投标被拒绝。</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5.2任何要求对招标文件进行澄清的潜在投标人，均应</w:t>
      </w:r>
      <w:r>
        <w:rPr>
          <w:rFonts w:hint="eastAsia" w:ascii="Times New Roman" w:hAnsi="Times New Roman" w:eastAsia="宋体" w:cs="Times New Roman"/>
          <w:color w:val="000000" w:themeColor="text1"/>
          <w:sz w:val="24"/>
          <w:szCs w:val="24"/>
          <w:highlight w:val="none"/>
          <w14:textFill>
            <w14:solidFill>
              <w14:schemeClr w14:val="tx1"/>
            </w14:solidFill>
          </w14:textFill>
        </w:rPr>
        <w:t>按照</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hint="eastAsia" w:ascii="Times New Roman" w:hAnsi="Times New Roman" w:eastAsia="宋体" w:cs="Times New Roman"/>
          <w:b/>
          <w:color w:val="000000" w:themeColor="text1"/>
          <w:sz w:val="24"/>
          <w:szCs w:val="24"/>
          <w:highlight w:val="none"/>
          <w14:textFill>
            <w14:solidFill>
              <w14:schemeClr w14:val="tx1"/>
            </w14:solidFill>
          </w14:textFill>
        </w:rPr>
        <w:t>相关</w:t>
      </w:r>
      <w:r>
        <w:rPr>
          <w:rFonts w:ascii="Times New Roman" w:hAnsi="Times New Roman" w:eastAsia="宋体" w:cs="Times New Roman"/>
          <w:color w:val="000000" w:themeColor="text1"/>
          <w:sz w:val="24"/>
          <w:szCs w:val="24"/>
          <w:highlight w:val="none"/>
          <w14:textFill>
            <w14:solidFill>
              <w14:schemeClr w14:val="tx1"/>
            </w14:solidFill>
          </w14:textFill>
        </w:rPr>
        <w:t>规定</w:t>
      </w:r>
      <w:r>
        <w:rPr>
          <w:rFonts w:hint="eastAsia" w:ascii="Times New Roman" w:hAnsi="Times New Roman" w:eastAsia="宋体" w:cs="Times New Roman"/>
          <w:color w:val="000000" w:themeColor="text1"/>
          <w:sz w:val="24"/>
          <w:szCs w:val="24"/>
          <w:highlight w:val="none"/>
          <w14:textFill>
            <w14:solidFill>
              <w14:schemeClr w14:val="tx1"/>
            </w14:solidFill>
          </w14:textFill>
        </w:rPr>
        <w:t>执行</w:t>
      </w:r>
      <w:r>
        <w:rPr>
          <w:rFonts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5.3潜在投标人或者其它利害关系人对招标文件有异议的，应当在投标截止时间10日前提出。招标人应当自收到异议之日起3日内作出答复，并将答复内容以补遗的形式在</w:t>
      </w:r>
      <w:r>
        <w:rPr>
          <w:rFonts w:hint="eastAsia" w:cs="Times New Roman" w:asciiTheme="minorEastAsia" w:hAnsiTheme="minorEastAsia"/>
          <w:color w:val="000000" w:themeColor="text1"/>
          <w:szCs w:val="21"/>
          <w:highlight w:val="none"/>
          <w:u w:val="single"/>
          <w14:textFill>
            <w14:solidFill>
              <w14:schemeClr w14:val="tx1"/>
            </w14:solidFill>
          </w14:textFill>
        </w:rPr>
        <w:t>《重庆国际投资咨询集团网》（www.cqiic.com）</w:t>
      </w:r>
      <w:r>
        <w:rPr>
          <w:rFonts w:hint="eastAsia" w:ascii="Times New Roman" w:hAnsi="Times New Roman" w:eastAsia="宋体" w:cs="Times New Roman"/>
          <w:color w:val="000000" w:themeColor="text1"/>
          <w:sz w:val="24"/>
          <w:szCs w:val="24"/>
          <w:highlight w:val="none"/>
          <w14:textFill>
            <w14:solidFill>
              <w14:schemeClr w14:val="tx1"/>
            </w14:solidFill>
          </w14:textFill>
        </w:rPr>
        <w:t>上</w:t>
      </w:r>
      <w:r>
        <w:rPr>
          <w:rFonts w:ascii="Times New Roman" w:hAnsi="Times New Roman" w:eastAsia="宋体" w:cs="Times New Roman"/>
          <w:color w:val="000000" w:themeColor="text1"/>
          <w:sz w:val="24"/>
          <w:szCs w:val="24"/>
          <w:highlight w:val="none"/>
          <w14:textFill>
            <w14:solidFill>
              <w14:schemeClr w14:val="tx1"/>
            </w14:solidFill>
          </w14:textFill>
        </w:rPr>
        <w:t>发布，补遗内容可能影响投标文件编制的，须在投标截止时间15日前发布，发布时间至投标截止时间不足15日的，须相应延后投标截止时间。</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5.4招标人对投标人所提质疑和澄清问题的回答内容将</w:t>
      </w:r>
      <w:r>
        <w:rPr>
          <w:rFonts w:hint="eastAsia" w:ascii="Times New Roman" w:hAnsi="Times New Roman" w:eastAsia="宋体" w:cs="Times New Roman"/>
          <w:color w:val="000000" w:themeColor="text1"/>
          <w:sz w:val="24"/>
          <w:szCs w:val="24"/>
          <w:highlight w:val="none"/>
          <w14:textFill>
            <w14:solidFill>
              <w14:schemeClr w14:val="tx1"/>
            </w14:solidFill>
          </w14:textFill>
        </w:rPr>
        <w:t>按</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hint="eastAsia" w:ascii="Times New Roman" w:hAnsi="Times New Roman" w:eastAsia="宋体" w:cs="Times New Roman"/>
          <w:b/>
          <w:color w:val="000000" w:themeColor="text1"/>
          <w:sz w:val="24"/>
          <w:szCs w:val="24"/>
          <w:highlight w:val="none"/>
          <w14:textFill>
            <w14:solidFill>
              <w14:schemeClr w14:val="tx1"/>
            </w14:solidFill>
          </w14:textFill>
        </w:rPr>
        <w:t>相关</w:t>
      </w:r>
      <w:r>
        <w:rPr>
          <w:rFonts w:ascii="Times New Roman" w:hAnsi="Times New Roman" w:eastAsia="宋体" w:cs="Times New Roman"/>
          <w:color w:val="000000" w:themeColor="text1"/>
          <w:sz w:val="24"/>
          <w:szCs w:val="24"/>
          <w:highlight w:val="none"/>
          <w14:textFill>
            <w14:solidFill>
              <w14:schemeClr w14:val="tx1"/>
            </w14:solidFill>
          </w14:textFill>
        </w:rPr>
        <w:t>规定</w:t>
      </w:r>
      <w:r>
        <w:rPr>
          <w:rFonts w:hint="eastAsia" w:ascii="Times New Roman" w:hAnsi="Times New Roman" w:eastAsia="宋体" w:cs="Times New Roman"/>
          <w:color w:val="000000" w:themeColor="text1"/>
          <w:sz w:val="24"/>
          <w:szCs w:val="24"/>
          <w:highlight w:val="none"/>
          <w14:textFill>
            <w14:solidFill>
              <w14:schemeClr w14:val="tx1"/>
            </w14:solidFill>
          </w14:textFill>
        </w:rPr>
        <w:t>执行，</w:t>
      </w:r>
      <w:r>
        <w:rPr>
          <w:rFonts w:ascii="Times New Roman" w:hAnsi="Times New Roman" w:eastAsia="宋体" w:cs="Times New Roman"/>
          <w:color w:val="000000" w:themeColor="text1"/>
          <w:sz w:val="24"/>
          <w:szCs w:val="24"/>
          <w:highlight w:val="none"/>
          <w14:textFill>
            <w14:solidFill>
              <w14:schemeClr w14:val="tx1"/>
            </w14:solidFill>
          </w14:textFill>
        </w:rPr>
        <w:t>但不指明质疑和澄清问题的来源。如果招标人发出的澄清或者修改内容的时间距投标截止时间不足15日的，则应当顺延提交投标文件的截止时间和开标时间。</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6.招标文件的修改</w:t>
      </w:r>
      <w:bookmarkEnd w:id="29"/>
      <w:bookmarkEnd w:id="30"/>
      <w:bookmarkEnd w:id="31"/>
      <w:r>
        <w:rPr>
          <w:rFonts w:ascii="Times New Roman" w:hAnsi="Times New Roman" w:eastAsia="宋体" w:cs="Times New Roman"/>
          <w:b/>
          <w:color w:val="000000" w:themeColor="text1"/>
          <w:sz w:val="28"/>
          <w:szCs w:val="24"/>
          <w:highlight w:val="none"/>
          <w14:textFill>
            <w14:solidFill>
              <w14:schemeClr w14:val="tx1"/>
            </w14:solidFill>
          </w14:textFill>
        </w:rPr>
        <w:tab/>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招标人可以对已发出的招标文件进行必要的修改，修改内容将按</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hint="eastAsia" w:ascii="Times New Roman" w:hAnsi="Times New Roman" w:eastAsia="宋体" w:cs="Times New Roman"/>
          <w:b/>
          <w:color w:val="000000" w:themeColor="text1"/>
          <w:sz w:val="24"/>
          <w:szCs w:val="24"/>
          <w:highlight w:val="none"/>
          <w14:textFill>
            <w14:solidFill>
              <w14:schemeClr w14:val="tx1"/>
            </w14:solidFill>
          </w14:textFill>
        </w:rPr>
        <w:t>相关</w:t>
      </w:r>
      <w:r>
        <w:rPr>
          <w:rFonts w:ascii="Times New Roman" w:hAnsi="Times New Roman" w:eastAsia="宋体" w:cs="Times New Roman"/>
          <w:color w:val="000000" w:themeColor="text1"/>
          <w:sz w:val="24"/>
          <w:szCs w:val="24"/>
          <w:highlight w:val="none"/>
          <w14:textFill>
            <w14:solidFill>
              <w14:schemeClr w14:val="tx1"/>
            </w14:solidFill>
          </w14:textFill>
        </w:rPr>
        <w:t>规定</w:t>
      </w:r>
      <w:r>
        <w:rPr>
          <w:rFonts w:hint="eastAsia" w:ascii="Times New Roman" w:hAnsi="Times New Roman" w:eastAsia="宋体" w:cs="Times New Roman"/>
          <w:color w:val="000000" w:themeColor="text1"/>
          <w:sz w:val="24"/>
          <w:szCs w:val="24"/>
          <w:highlight w:val="none"/>
          <w14:textFill>
            <w14:solidFill>
              <w14:schemeClr w14:val="tx1"/>
            </w14:solidFill>
          </w14:textFill>
        </w:rPr>
        <w:t>执行</w:t>
      </w:r>
      <w:r>
        <w:rPr>
          <w:rFonts w:ascii="Times New Roman" w:hAnsi="Times New Roman" w:eastAsia="宋体" w:cs="Times New Roman"/>
          <w:color w:val="000000" w:themeColor="text1"/>
          <w:sz w:val="24"/>
          <w:szCs w:val="24"/>
          <w:highlight w:val="none"/>
          <w14:textFill>
            <w14:solidFill>
              <w14:schemeClr w14:val="tx1"/>
            </w14:solidFill>
          </w14:textFill>
        </w:rPr>
        <w:t>；投标人应及时在网上查寻并自行下载招标人发出的通知、修改、答疑、补疑等重要内容。如果修改招标文件的时间距投标截止时间不足15日的，招标人应当顺延提交投标文件的截止时间和开标时间。</w:t>
      </w:r>
    </w:p>
    <w:p>
      <w:pPr>
        <w:jc w:val="center"/>
        <w:rPr>
          <w:rFonts w:ascii="Times New Roman" w:hAnsi="Times New Roman" w:eastAsia="宋体" w:cs="Times New Roman"/>
          <w:b/>
          <w:color w:val="000000" w:themeColor="text1"/>
          <w:sz w:val="28"/>
          <w:szCs w:val="32"/>
          <w:highlight w:val="none"/>
          <w14:textFill>
            <w14:solidFill>
              <w14:schemeClr w14:val="tx1"/>
            </w14:solidFill>
          </w14:textFill>
        </w:rPr>
      </w:pPr>
      <w:bookmarkStart w:id="32" w:name="_Toc370978592"/>
      <w:bookmarkStart w:id="33" w:name="_Toc356889602"/>
      <w:bookmarkStart w:id="34" w:name="_Toc370738922"/>
      <w:r>
        <w:rPr>
          <w:rFonts w:ascii="Times New Roman" w:hAnsi="Times New Roman" w:eastAsia="宋体" w:cs="Times New Roman"/>
          <w:b/>
          <w:color w:val="000000" w:themeColor="text1"/>
          <w:sz w:val="28"/>
          <w:szCs w:val="32"/>
          <w:highlight w:val="none"/>
          <w14:textFill>
            <w14:solidFill>
              <w14:schemeClr w14:val="tx1"/>
            </w14:solidFill>
          </w14:textFill>
        </w:rPr>
        <w:t>四、投标文件</w:t>
      </w:r>
      <w:bookmarkEnd w:id="32"/>
      <w:bookmarkEnd w:id="33"/>
      <w:bookmarkEnd w:id="34"/>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35" w:name="_Toc370738923"/>
      <w:bookmarkStart w:id="36" w:name="_Toc370978593"/>
      <w:bookmarkStart w:id="37" w:name="_Toc356889603"/>
      <w:r>
        <w:rPr>
          <w:rFonts w:ascii="Times New Roman" w:hAnsi="Times New Roman" w:eastAsia="宋体" w:cs="Times New Roman"/>
          <w:b/>
          <w:color w:val="000000" w:themeColor="text1"/>
          <w:sz w:val="28"/>
          <w:szCs w:val="24"/>
          <w:highlight w:val="none"/>
          <w14:textFill>
            <w14:solidFill>
              <w14:schemeClr w14:val="tx1"/>
            </w14:solidFill>
          </w14:textFill>
        </w:rPr>
        <w:t>7.投标文件计量单位</w:t>
      </w:r>
      <w:bookmarkEnd w:id="35"/>
      <w:bookmarkEnd w:id="36"/>
      <w:bookmarkEnd w:id="37"/>
    </w:p>
    <w:p>
      <w:pPr>
        <w:tabs>
          <w:tab w:val="left" w:pos="1050"/>
          <w:tab w:val="left" w:pos="1470"/>
        </w:tabs>
        <w:adjustRightInd w:val="0"/>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投标文件中所使用的计量单位，除招标文件中有特殊要求外，应采用国家法定计量单位。</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38" w:name="_Toc370738924"/>
      <w:bookmarkStart w:id="39" w:name="_Toc356889604"/>
      <w:bookmarkStart w:id="40" w:name="_Toc370978594"/>
      <w:r>
        <w:rPr>
          <w:rFonts w:ascii="Times New Roman" w:hAnsi="Times New Roman" w:eastAsia="宋体" w:cs="Times New Roman"/>
          <w:b/>
          <w:color w:val="000000" w:themeColor="text1"/>
          <w:sz w:val="28"/>
          <w:szCs w:val="24"/>
          <w:highlight w:val="none"/>
          <w14:textFill>
            <w14:solidFill>
              <w14:schemeClr w14:val="tx1"/>
            </w14:solidFill>
          </w14:textFill>
        </w:rPr>
        <w:t>8.投标文件的组成</w:t>
      </w:r>
      <w:bookmarkEnd w:id="38"/>
      <w:bookmarkEnd w:id="39"/>
      <w:bookmarkEnd w:id="40"/>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bookmarkStart w:id="41" w:name="_Toc370738925"/>
      <w:bookmarkStart w:id="42" w:name="_Toc370978595"/>
      <w:bookmarkStart w:id="43" w:name="_Toc356889605"/>
      <w:r>
        <w:rPr>
          <w:rFonts w:ascii="Times New Roman" w:hAnsi="Times New Roman" w:eastAsia="宋体" w:cs="Times New Roman"/>
          <w:color w:val="000000" w:themeColor="text1"/>
          <w:sz w:val="24"/>
          <w:szCs w:val="24"/>
          <w:highlight w:val="none"/>
          <w14:textFill>
            <w14:solidFill>
              <w14:schemeClr w14:val="tx1"/>
            </w14:solidFill>
          </w14:textFill>
        </w:rPr>
        <w:t>8.1 投标文件包括但不限于下列内容：</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（1）投标函</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（2）资格、技术、商务部分</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8.2 资格和业绩证明文件：</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要求。</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9.投标文件填写说明</w:t>
      </w:r>
      <w:bookmarkEnd w:id="41"/>
      <w:bookmarkEnd w:id="42"/>
      <w:bookmarkEnd w:id="43"/>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9.1投标人应按照招标文件第六章投标文件格式完整地填写投标函等以及招标文件中规定的其它内容，然后装订成册。</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44" w:name="_Toc356889606"/>
      <w:bookmarkStart w:id="45" w:name="_Toc370978596"/>
      <w:bookmarkStart w:id="46" w:name="_Toc370738926"/>
      <w:r>
        <w:rPr>
          <w:rFonts w:ascii="Times New Roman" w:hAnsi="Times New Roman" w:eastAsia="宋体" w:cs="Times New Roman"/>
          <w:b/>
          <w:color w:val="000000" w:themeColor="text1"/>
          <w:sz w:val="28"/>
          <w:szCs w:val="24"/>
          <w:highlight w:val="none"/>
          <w14:textFill>
            <w14:solidFill>
              <w14:schemeClr w14:val="tx1"/>
            </w14:solidFill>
          </w14:textFill>
        </w:rPr>
        <w:t>10.投标文件附件的编制</w:t>
      </w:r>
      <w:bookmarkEnd w:id="44"/>
      <w:bookmarkEnd w:id="45"/>
      <w:bookmarkEnd w:id="46"/>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10.1投标文件附件由投标人视需要自行编制。规格幅面应与正文一致，附于正文之后，与正文页码统一编目编码装订。</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47" w:name="_Toc356889607"/>
      <w:bookmarkStart w:id="48" w:name="_Toc370738927"/>
      <w:bookmarkStart w:id="49" w:name="_Toc370978597"/>
      <w:r>
        <w:rPr>
          <w:rFonts w:ascii="Times New Roman" w:hAnsi="Times New Roman" w:eastAsia="宋体" w:cs="Times New Roman"/>
          <w:b/>
          <w:color w:val="000000" w:themeColor="text1"/>
          <w:sz w:val="28"/>
          <w:szCs w:val="24"/>
          <w:highlight w:val="none"/>
          <w14:textFill>
            <w14:solidFill>
              <w14:schemeClr w14:val="tx1"/>
            </w14:solidFill>
          </w14:textFill>
        </w:rPr>
        <w:t>11.投标报价</w:t>
      </w:r>
      <w:bookmarkEnd w:id="47"/>
      <w:bookmarkEnd w:id="48"/>
      <w:bookmarkEnd w:id="49"/>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11.1币种为人民币。</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11.2投标报价应包括投标人须知前附表规定的所有内容，投标人应按投标函的内容逐项填写，并由法定代表人或其授权代表签署并加盖单位公章。</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50" w:name="_Toc356889608"/>
      <w:bookmarkStart w:id="51" w:name="_Toc370738928"/>
      <w:bookmarkStart w:id="52" w:name="_Toc370978598"/>
      <w:r>
        <w:rPr>
          <w:rFonts w:ascii="Times New Roman" w:hAnsi="Times New Roman" w:eastAsia="宋体" w:cs="Times New Roman"/>
          <w:b/>
          <w:color w:val="000000" w:themeColor="text1"/>
          <w:sz w:val="28"/>
          <w:szCs w:val="24"/>
          <w:highlight w:val="none"/>
          <w14:textFill>
            <w14:solidFill>
              <w14:schemeClr w14:val="tx1"/>
            </w14:solidFill>
          </w14:textFill>
        </w:rPr>
        <w:t>12.投标保证金</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12.1本项目约定投标人应提供的投标保证金金额、提交方式、投标保证金到账截止时间、投标保证金有效期等详见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12.2投标保证金可采用下列形式之一种：</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（1）银行转帐；</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（2）银行电汇；</w:t>
      </w:r>
    </w:p>
    <w:p>
      <w:pPr>
        <w:tabs>
          <w:tab w:val="left" w:pos="1050"/>
          <w:tab w:val="left" w:pos="1470"/>
        </w:tabs>
        <w:spacing w:line="360" w:lineRule="auto"/>
        <w:ind w:firstLine="1080" w:firstLineChars="45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以银行转帐或电汇形式提交的投标保证金必须从投标人</w:t>
      </w:r>
      <w:r>
        <w:rPr>
          <w:rFonts w:ascii="Times New Roman" w:hAnsi="Times New Roman" w:eastAsia="宋体" w:cs="Times New Roman"/>
          <w:b/>
          <w:color w:val="000000" w:themeColor="text1"/>
          <w:sz w:val="24"/>
          <w:szCs w:val="24"/>
          <w:highlight w:val="none"/>
          <w14:textFill>
            <w14:solidFill>
              <w14:schemeClr w14:val="tx1"/>
            </w14:solidFill>
          </w14:textFill>
        </w:rPr>
        <w:t>基本账户</w:t>
      </w:r>
      <w:r>
        <w:rPr>
          <w:rFonts w:ascii="Times New Roman" w:hAnsi="Times New Roman" w:eastAsia="宋体" w:cs="Times New Roman"/>
          <w:color w:val="000000" w:themeColor="text1"/>
          <w:sz w:val="24"/>
          <w:szCs w:val="24"/>
          <w:highlight w:val="none"/>
          <w14:textFill>
            <w14:solidFill>
              <w14:schemeClr w14:val="tx1"/>
            </w14:solidFill>
          </w14:textFill>
        </w:rPr>
        <w:t>转出。</w:t>
      </w:r>
    </w:p>
    <w:p>
      <w:pPr>
        <w:widowControl/>
        <w:spacing w:line="30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12.</w:t>
      </w:r>
      <w:r>
        <w:rPr>
          <w:rFonts w:hint="eastAsia" w:ascii="宋体" w:hAnsi="宋体" w:eastAsia="宋体" w:cs="Times New Roman"/>
          <w:color w:val="000000" w:themeColor="text1"/>
          <w:sz w:val="24"/>
          <w:szCs w:val="24"/>
          <w:highlight w:val="none"/>
          <w14:textFill>
            <w14:solidFill>
              <w14:schemeClr w14:val="tx1"/>
            </w14:solidFill>
          </w14:textFill>
        </w:rPr>
        <w:t>3中标候选人以外投标人的投标保证金退还详见</w:t>
      </w:r>
      <w:r>
        <w:rPr>
          <w:rFonts w:hint="eastAsia" w:ascii="宋体" w:hAnsi="宋体" w:eastAsia="宋体" w:cs="Times New Roman"/>
          <w:b/>
          <w:color w:val="000000" w:themeColor="text1"/>
          <w:sz w:val="24"/>
          <w:szCs w:val="24"/>
          <w:highlight w:val="none"/>
          <w14:textFill>
            <w14:solidFill>
              <w14:schemeClr w14:val="tx1"/>
            </w14:solidFill>
          </w14:textFill>
        </w:rPr>
        <w:t>投标人须知前附表</w:t>
      </w:r>
      <w:r>
        <w:rPr>
          <w:rFonts w:hint="eastAsia" w:ascii="宋体" w:hAnsi="宋体" w:eastAsia="宋体" w:cs="Times New Roman"/>
          <w:color w:val="000000" w:themeColor="text1"/>
          <w:sz w:val="24"/>
          <w:szCs w:val="24"/>
          <w:highlight w:val="none"/>
          <w14:textFill>
            <w14:solidFill>
              <w14:schemeClr w14:val="tx1"/>
            </w14:solidFill>
          </w14:textFill>
        </w:rPr>
        <w:t>。</w:t>
      </w:r>
    </w:p>
    <w:p>
      <w:pPr>
        <w:widowControl/>
        <w:spacing w:line="30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12.</w:t>
      </w:r>
      <w:r>
        <w:rPr>
          <w:rFonts w:hint="eastAsia" w:ascii="宋体" w:hAnsi="宋体" w:eastAsia="宋体" w:cs="Times New Roman"/>
          <w:color w:val="000000" w:themeColor="text1"/>
          <w:sz w:val="24"/>
          <w:szCs w:val="24"/>
          <w:highlight w:val="none"/>
          <w14:textFill>
            <w14:solidFill>
              <w14:schemeClr w14:val="tx1"/>
            </w14:solidFill>
          </w14:textFill>
        </w:rPr>
        <w:t>4中标人和其他中标候选人的投标保证金退还详见</w:t>
      </w:r>
      <w:r>
        <w:rPr>
          <w:rFonts w:hint="eastAsia" w:ascii="宋体" w:hAnsi="宋体" w:eastAsia="宋体" w:cs="Times New Roman"/>
          <w:b/>
          <w:color w:val="000000" w:themeColor="text1"/>
          <w:sz w:val="24"/>
          <w:szCs w:val="24"/>
          <w:highlight w:val="none"/>
          <w14:textFill>
            <w14:solidFill>
              <w14:schemeClr w14:val="tx1"/>
            </w14:solidFill>
          </w14:textFill>
        </w:rPr>
        <w:t>投标人须知前附表</w:t>
      </w:r>
      <w:r>
        <w:rPr>
          <w:rFonts w:hint="eastAsia" w:ascii="宋体" w:hAnsi="宋体" w:eastAsia="宋体" w:cs="Times New Roman"/>
          <w:color w:val="000000" w:themeColor="text1"/>
          <w:sz w:val="24"/>
          <w:szCs w:val="24"/>
          <w:highlight w:val="none"/>
          <w14:textFill>
            <w14:solidFill>
              <w14:schemeClr w14:val="tx1"/>
            </w14:solidFill>
          </w14:textFill>
        </w:rPr>
        <w:t>。</w:t>
      </w:r>
    </w:p>
    <w:p>
      <w:pPr>
        <w:widowControl/>
        <w:spacing w:line="30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12.</w:t>
      </w:r>
      <w:r>
        <w:rPr>
          <w:rFonts w:hint="eastAsia" w:ascii="宋体" w:hAnsi="宋体" w:eastAsia="宋体" w:cs="Times New Roman"/>
          <w:color w:val="000000" w:themeColor="text1"/>
          <w:sz w:val="24"/>
          <w:szCs w:val="24"/>
          <w:highlight w:val="none"/>
          <w14:textFill>
            <w14:solidFill>
              <w14:schemeClr w14:val="tx1"/>
            </w14:solidFill>
          </w14:textFill>
        </w:rPr>
        <w:t>5发生下列情况之一，保证金将不予退还：</w:t>
      </w:r>
    </w:p>
    <w:p>
      <w:pPr>
        <w:widowControl/>
        <w:tabs>
          <w:tab w:val="left" w:pos="1050"/>
          <w:tab w:val="left" w:pos="1470"/>
        </w:tabs>
        <w:adjustRightInd w:val="0"/>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Arial"/>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投标人在投标有效期内撤销投标文件</w:t>
      </w:r>
      <w:r>
        <w:rPr>
          <w:rFonts w:ascii="宋体" w:hAnsi="宋体" w:eastAsia="宋体" w:cs="Times New Roman"/>
          <w:color w:val="000000" w:themeColor="text1"/>
          <w:sz w:val="24"/>
          <w:szCs w:val="24"/>
          <w:highlight w:val="none"/>
          <w14:textFill>
            <w14:solidFill>
              <w14:schemeClr w14:val="tx1"/>
            </w14:solidFill>
          </w14:textFill>
        </w:rPr>
        <w:t>。</w:t>
      </w:r>
    </w:p>
    <w:p>
      <w:pPr>
        <w:widowControl/>
        <w:tabs>
          <w:tab w:val="left" w:pos="1050"/>
          <w:tab w:val="left" w:pos="1470"/>
        </w:tabs>
        <w:adjustRightInd w:val="0"/>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中标人在收到中标通知书后，无正当理由不与招标人订立合同，在签订合同时向招标人提出附加条件，或者不按照招标文件要求提交履约保证金</w:t>
      </w:r>
      <w:r>
        <w:rPr>
          <w:rFonts w:ascii="宋体" w:hAnsi="宋体" w:eastAsia="宋体" w:cs="Times New Roman"/>
          <w:color w:val="000000" w:themeColor="text1"/>
          <w:sz w:val="24"/>
          <w:szCs w:val="24"/>
          <w:highlight w:val="none"/>
          <w14:textFill>
            <w14:solidFill>
              <w14:schemeClr w14:val="tx1"/>
            </w14:solidFill>
          </w14:textFill>
        </w:rPr>
        <w:t>。</w:t>
      </w:r>
    </w:p>
    <w:p>
      <w:pPr>
        <w:widowControl/>
        <w:tabs>
          <w:tab w:val="left" w:pos="1050"/>
          <w:tab w:val="left" w:pos="1470"/>
        </w:tabs>
        <w:adjustRightInd w:val="0"/>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w:t>
      </w:r>
      <w:r>
        <w:rPr>
          <w:rFonts w:ascii="宋体" w:hAnsi="宋体" w:eastAsia="宋体" w:cs="Times New Roman"/>
          <w:color w:val="000000" w:themeColor="text1"/>
          <w:sz w:val="24"/>
          <w:szCs w:val="24"/>
          <w:highlight w:val="none"/>
          <w14:textFill>
            <w14:solidFill>
              <w14:schemeClr w14:val="tx1"/>
            </w14:solidFill>
          </w14:textFill>
        </w:rPr>
        <w:t>中标人不按本</w:t>
      </w:r>
      <w:r>
        <w:rPr>
          <w:rFonts w:hint="eastAsia" w:ascii="宋体" w:hAnsi="宋体" w:eastAsia="宋体" w:cs="Times New Roman"/>
          <w:color w:val="000000" w:themeColor="text1"/>
          <w:sz w:val="24"/>
          <w:szCs w:val="24"/>
          <w:highlight w:val="none"/>
          <w14:textFill>
            <w14:solidFill>
              <w14:schemeClr w14:val="tx1"/>
            </w14:solidFill>
          </w14:textFill>
        </w:rPr>
        <w:t>招标文件</w:t>
      </w:r>
      <w:r>
        <w:rPr>
          <w:rFonts w:ascii="宋体" w:hAnsi="宋体" w:eastAsia="宋体" w:cs="Times New Roman"/>
          <w:color w:val="000000" w:themeColor="text1"/>
          <w:sz w:val="24"/>
          <w:szCs w:val="24"/>
          <w:highlight w:val="none"/>
          <w14:textFill>
            <w14:solidFill>
              <w14:schemeClr w14:val="tx1"/>
            </w14:solidFill>
          </w14:textFill>
        </w:rPr>
        <w:t>规定提供</w:t>
      </w:r>
      <w:r>
        <w:rPr>
          <w:rFonts w:hint="eastAsia" w:ascii="宋体" w:hAnsi="宋体" w:eastAsia="宋体" w:cs="Times New Roman"/>
          <w:color w:val="000000" w:themeColor="text1"/>
          <w:sz w:val="24"/>
          <w:szCs w:val="24"/>
          <w:highlight w:val="none"/>
          <w14:textFill>
            <w14:solidFill>
              <w14:schemeClr w14:val="tx1"/>
            </w14:solidFill>
          </w14:textFill>
        </w:rPr>
        <w:t>低价</w:t>
      </w:r>
      <w:r>
        <w:rPr>
          <w:rFonts w:ascii="宋体" w:hAnsi="宋体" w:eastAsia="宋体" w:cs="Times New Roman"/>
          <w:color w:val="000000" w:themeColor="text1"/>
          <w:sz w:val="24"/>
          <w:szCs w:val="24"/>
          <w:highlight w:val="none"/>
          <w14:textFill>
            <w14:solidFill>
              <w14:schemeClr w14:val="tx1"/>
            </w14:solidFill>
          </w14:textFill>
        </w:rPr>
        <w:t>履约担保</w:t>
      </w:r>
      <w:r>
        <w:rPr>
          <w:rFonts w:hint="eastAsia" w:ascii="宋体" w:hAnsi="宋体" w:eastAsia="宋体" w:cs="Times New Roman"/>
          <w:color w:val="000000" w:themeColor="text1"/>
          <w:sz w:val="24"/>
          <w:szCs w:val="24"/>
          <w:highlight w:val="none"/>
          <w14:textFill>
            <w14:solidFill>
              <w14:schemeClr w14:val="tx1"/>
            </w14:solidFill>
          </w14:textFill>
        </w:rPr>
        <w:t>的（如果有）。</w:t>
      </w:r>
    </w:p>
    <w:p>
      <w:pPr>
        <w:widowControl/>
        <w:tabs>
          <w:tab w:val="left" w:pos="426"/>
          <w:tab w:val="left" w:pos="1470"/>
        </w:tabs>
        <w:adjustRightInd w:val="0"/>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w:t>
      </w:r>
      <w:r>
        <w:rPr>
          <w:rFonts w:ascii="宋体" w:hAnsi="宋体" w:eastAsia="宋体" w:cs="Times New Roman"/>
          <w:color w:val="000000" w:themeColor="text1"/>
          <w:sz w:val="24"/>
          <w:szCs w:val="24"/>
          <w:highlight w:val="none"/>
          <w14:textFill>
            <w14:solidFill>
              <w14:schemeClr w14:val="tx1"/>
            </w14:solidFill>
          </w14:textFill>
        </w:rPr>
        <w:t>中标人不按本</w:t>
      </w:r>
      <w:r>
        <w:rPr>
          <w:rFonts w:hint="eastAsia" w:ascii="宋体" w:hAnsi="宋体" w:eastAsia="宋体" w:cs="Times New Roman"/>
          <w:color w:val="000000" w:themeColor="text1"/>
          <w:sz w:val="24"/>
          <w:szCs w:val="24"/>
          <w:highlight w:val="none"/>
          <w14:textFill>
            <w14:solidFill>
              <w14:schemeClr w14:val="tx1"/>
            </w14:solidFill>
          </w14:textFill>
        </w:rPr>
        <w:t>招标文件</w:t>
      </w:r>
      <w:r>
        <w:rPr>
          <w:rFonts w:ascii="宋体" w:hAnsi="宋体" w:eastAsia="宋体" w:cs="Times New Roman"/>
          <w:color w:val="000000" w:themeColor="text1"/>
          <w:sz w:val="24"/>
          <w:szCs w:val="24"/>
          <w:highlight w:val="none"/>
          <w14:textFill>
            <w14:solidFill>
              <w14:schemeClr w14:val="tx1"/>
            </w14:solidFill>
          </w14:textFill>
        </w:rPr>
        <w:t>规定</w:t>
      </w:r>
      <w:r>
        <w:rPr>
          <w:rFonts w:hint="eastAsia" w:ascii="宋体" w:hAnsi="宋体" w:eastAsia="宋体" w:cs="Times New Roman"/>
          <w:color w:val="000000" w:themeColor="text1"/>
          <w:sz w:val="24"/>
          <w:szCs w:val="24"/>
          <w:highlight w:val="none"/>
          <w14:textFill>
            <w14:solidFill>
              <w14:schemeClr w14:val="tx1"/>
            </w14:solidFill>
          </w14:textFill>
        </w:rPr>
        <w:t>参加相关测试或相关测试未通过的（如果有）。</w:t>
      </w:r>
    </w:p>
    <w:p>
      <w:pPr>
        <w:widowControl/>
        <w:spacing w:line="30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（5）</w:t>
      </w:r>
      <w:r>
        <w:rPr>
          <w:rFonts w:ascii="宋体" w:hAnsi="宋体" w:eastAsia="宋体" w:cs="Times New Roman"/>
          <w:color w:val="000000" w:themeColor="text1"/>
          <w:sz w:val="24"/>
          <w:szCs w:val="24"/>
          <w:highlight w:val="none"/>
          <w14:textFill>
            <w14:solidFill>
              <w14:schemeClr w14:val="tx1"/>
            </w14:solidFill>
          </w14:textFill>
        </w:rPr>
        <w:t>中标人不按本</w:t>
      </w:r>
      <w:r>
        <w:rPr>
          <w:rFonts w:hint="eastAsia" w:ascii="宋体" w:hAnsi="宋体" w:eastAsia="宋体" w:cs="Times New Roman"/>
          <w:color w:val="000000" w:themeColor="text1"/>
          <w:sz w:val="24"/>
          <w:szCs w:val="24"/>
          <w:highlight w:val="none"/>
          <w14:textFill>
            <w14:solidFill>
              <w14:schemeClr w14:val="tx1"/>
            </w14:solidFill>
          </w14:textFill>
        </w:rPr>
        <w:t>招标文件</w:t>
      </w:r>
      <w:r>
        <w:rPr>
          <w:rFonts w:ascii="宋体" w:hAnsi="宋体" w:eastAsia="宋体" w:cs="Times New Roman"/>
          <w:color w:val="000000" w:themeColor="text1"/>
          <w:sz w:val="24"/>
          <w:szCs w:val="24"/>
          <w:highlight w:val="none"/>
          <w14:textFill>
            <w14:solidFill>
              <w14:schemeClr w14:val="tx1"/>
            </w14:solidFill>
          </w14:textFill>
        </w:rPr>
        <w:t>规定</w:t>
      </w:r>
      <w:r>
        <w:rPr>
          <w:rFonts w:hint="eastAsia" w:ascii="宋体" w:hAnsi="宋体" w:eastAsia="宋体" w:cs="Times New Roman"/>
          <w:color w:val="000000" w:themeColor="text1"/>
          <w:sz w:val="24"/>
          <w:szCs w:val="24"/>
          <w:highlight w:val="none"/>
          <w14:textFill>
            <w14:solidFill>
              <w14:schemeClr w14:val="tx1"/>
            </w14:solidFill>
          </w14:textFill>
        </w:rPr>
        <w:t>支</w:t>
      </w:r>
      <w:r>
        <w:rPr>
          <w:rFonts w:ascii="宋体" w:hAnsi="宋体" w:eastAsia="宋体" w:cs="Times New Roman"/>
          <w:color w:val="000000" w:themeColor="text1"/>
          <w:sz w:val="24"/>
          <w:szCs w:val="24"/>
          <w:highlight w:val="none"/>
          <w14:textFill>
            <w14:solidFill>
              <w14:schemeClr w14:val="tx1"/>
            </w14:solidFill>
          </w14:textFill>
        </w:rPr>
        <w:t>付招标代理服务费</w:t>
      </w:r>
      <w:r>
        <w:rPr>
          <w:rFonts w:hint="eastAsia" w:ascii="宋体" w:hAnsi="宋体" w:eastAsia="宋体" w:cs="Times New Roman"/>
          <w:color w:val="000000" w:themeColor="text1"/>
          <w:sz w:val="24"/>
          <w:szCs w:val="24"/>
          <w:highlight w:val="none"/>
          <w14:textFill>
            <w14:solidFill>
              <w14:schemeClr w14:val="tx1"/>
            </w14:solidFill>
          </w14:textFill>
        </w:rPr>
        <w:t>或交易服务费</w:t>
      </w:r>
      <w:r>
        <w:rPr>
          <w:rFonts w:ascii="宋体" w:hAnsi="宋体" w:eastAsia="宋体" w:cs="Times New Roman"/>
          <w:color w:val="000000" w:themeColor="text1"/>
          <w:sz w:val="24"/>
          <w:szCs w:val="24"/>
          <w:highlight w:val="none"/>
          <w14:textFill>
            <w14:solidFill>
              <w14:schemeClr w14:val="tx1"/>
            </w14:solidFill>
          </w14:textFill>
        </w:rPr>
        <w:t>的。</w:t>
      </w:r>
    </w:p>
    <w:p>
      <w:pPr>
        <w:widowControl/>
        <w:spacing w:line="30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（6）发生投标人须知前附表规定的其他可以不予退还投标保证金的情形。</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（7）《招标投标法》、《招标投标法实施条例》及《重庆市招标投标条例》等法律法规规定的没收投标保证金的情况；</w:t>
      </w:r>
      <w:bookmarkEnd w:id="50"/>
      <w:bookmarkEnd w:id="51"/>
      <w:bookmarkEnd w:id="52"/>
      <w:bookmarkStart w:id="53" w:name="_Toc370978599"/>
      <w:bookmarkStart w:id="54" w:name="_Toc356889609"/>
      <w:bookmarkStart w:id="55" w:name="_Toc370738929"/>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13.投标文件的有效期</w:t>
      </w:r>
      <w:bookmarkEnd w:id="53"/>
      <w:bookmarkEnd w:id="54"/>
      <w:bookmarkEnd w:id="55"/>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自开标日起90日内，投标文件保持有效。</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56" w:name="_Toc370738930"/>
      <w:bookmarkStart w:id="57" w:name="_Toc356889610"/>
      <w:bookmarkStart w:id="58" w:name="_Toc370978600"/>
      <w:r>
        <w:rPr>
          <w:rFonts w:ascii="Times New Roman" w:hAnsi="Times New Roman" w:eastAsia="宋体" w:cs="Times New Roman"/>
          <w:b/>
          <w:color w:val="000000" w:themeColor="text1"/>
          <w:sz w:val="28"/>
          <w:szCs w:val="24"/>
          <w:highlight w:val="none"/>
          <w14:textFill>
            <w14:solidFill>
              <w14:schemeClr w14:val="tx1"/>
            </w14:solidFill>
          </w14:textFill>
        </w:rPr>
        <w:t>14.投标文件的签署及规定</w:t>
      </w:r>
      <w:bookmarkEnd w:id="56"/>
      <w:bookmarkEnd w:id="57"/>
      <w:bookmarkEnd w:id="58"/>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14.1组成投标文件的各项资料（本须知第8条中所规定）均应遵守本条。</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14.2投标文件必须由法定代表人或其授权代表签署同时加盖单位公章（在投标文件格式规定的签字盖章处）。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14.3投标文件正本</w:t>
      </w:r>
      <w:r>
        <w:rPr>
          <w:rFonts w:ascii="Times New Roman" w:hAnsi="Times New Roman" w:eastAsia="宋体" w:cs="Times New Roman"/>
          <w:color w:val="000000" w:themeColor="text1"/>
          <w:sz w:val="24"/>
          <w:highlight w:val="none"/>
          <w14:textFill>
            <w14:solidFill>
              <w14:schemeClr w14:val="tx1"/>
            </w14:solidFill>
          </w14:textFill>
        </w:rPr>
        <w:t>1</w:t>
      </w:r>
      <w:r>
        <w:rPr>
          <w:rFonts w:ascii="Times New Roman" w:hAnsi="Times New Roman" w:eastAsia="宋体" w:cs="Times New Roman"/>
          <w:color w:val="000000" w:themeColor="text1"/>
          <w:sz w:val="24"/>
          <w:szCs w:val="24"/>
          <w:highlight w:val="none"/>
          <w14:textFill>
            <w14:solidFill>
              <w14:schemeClr w14:val="tx1"/>
            </w14:solidFill>
          </w14:textFill>
        </w:rPr>
        <w:t>份，副本数量、电子文件数量详见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。如果正本与副本不符，以正本为准。</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14.4投标文件的正本必须用不退色的墨水填写或打印，注明“正本”字样。副本可以用复印件。</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14.5投标文件如果有涂改和增删，必须由同一人签署人（法定代表人或其授权委托代理人）签字或盖章方为有效。</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14.6 投标文件因字迹潦草或表达不清所引起的后果由投标人自行负责。</w:t>
      </w:r>
    </w:p>
    <w:p>
      <w:pPr>
        <w:jc w:val="center"/>
        <w:rPr>
          <w:rFonts w:ascii="Times New Roman" w:hAnsi="Times New Roman" w:eastAsia="宋体" w:cs="Times New Roman"/>
          <w:b/>
          <w:color w:val="000000" w:themeColor="text1"/>
          <w:sz w:val="28"/>
          <w:szCs w:val="32"/>
          <w:highlight w:val="none"/>
          <w14:textFill>
            <w14:solidFill>
              <w14:schemeClr w14:val="tx1"/>
            </w14:solidFill>
          </w14:textFill>
        </w:rPr>
      </w:pPr>
      <w:bookmarkStart w:id="59" w:name="_Toc370978601"/>
      <w:bookmarkStart w:id="60" w:name="_Toc356889611"/>
      <w:bookmarkStart w:id="61" w:name="_Toc370738931"/>
      <w:r>
        <w:rPr>
          <w:rFonts w:ascii="Times New Roman" w:hAnsi="Times New Roman" w:eastAsia="宋体" w:cs="Times New Roman"/>
          <w:b/>
          <w:color w:val="000000" w:themeColor="text1"/>
          <w:sz w:val="28"/>
          <w:szCs w:val="32"/>
          <w:highlight w:val="none"/>
          <w14:textFill>
            <w14:solidFill>
              <w14:schemeClr w14:val="tx1"/>
            </w14:solidFill>
          </w14:textFill>
        </w:rPr>
        <w:t>五、投标文件递交</w:t>
      </w:r>
      <w:bookmarkEnd w:id="59"/>
      <w:bookmarkEnd w:id="60"/>
      <w:bookmarkEnd w:id="61"/>
      <w:bookmarkStart w:id="62" w:name="_Toc370738932"/>
      <w:bookmarkStart w:id="63" w:name="_Toc370978602"/>
      <w:bookmarkStart w:id="64" w:name="_Toc356889612"/>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15.投标文件的密封及标记</w:t>
      </w:r>
      <w:bookmarkEnd w:id="62"/>
      <w:bookmarkEnd w:id="63"/>
      <w:bookmarkEnd w:id="64"/>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bookmarkStart w:id="65" w:name="_Toc370978603"/>
      <w:bookmarkStart w:id="66" w:name="_Toc370738933"/>
      <w:bookmarkStart w:id="67" w:name="_Toc356889613"/>
      <w:r>
        <w:rPr>
          <w:rFonts w:ascii="Times New Roman" w:hAnsi="Times New Roman" w:eastAsia="宋体" w:cs="Times New Roman"/>
          <w:color w:val="000000" w:themeColor="text1"/>
          <w:sz w:val="24"/>
          <w:szCs w:val="24"/>
          <w:highlight w:val="none"/>
          <w14:textFill>
            <w14:solidFill>
              <w14:schemeClr w14:val="tx1"/>
            </w14:solidFill>
          </w14:textFill>
        </w:rPr>
        <w:t>15.1投标文件的正、副本标记：详见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15.2投标文件的密封和标注：详见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15.3如果投标人未按上述15.2要求密封并加写标记，将导致投标文件被拒收，招标人或招标代理机构对投标文件的误投和提前启封概不负责。</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16.投标截止时间</w:t>
      </w:r>
      <w:bookmarkEnd w:id="65"/>
      <w:bookmarkEnd w:id="66"/>
      <w:bookmarkEnd w:id="67"/>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16.1投标文件必须在</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规定的投标截止时间前派人送达至</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规定的投标文件递交地点。</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16.2在投标截止时间以后送达的投标文件，招标人或招标机构不受理。</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16.3投标产品样品的要求及递交：招标文件若要求投标人提供投标产品样品，应在投标人须知前附表中明确样品的规格及数量，样品提交时间、地点，以及样品的包装、标记及处置方式。</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68" w:name="_Toc356889614"/>
      <w:bookmarkStart w:id="69" w:name="_Toc370978604"/>
      <w:bookmarkStart w:id="70" w:name="_Toc370738934"/>
      <w:r>
        <w:rPr>
          <w:rFonts w:ascii="Times New Roman" w:hAnsi="Times New Roman" w:eastAsia="宋体" w:cs="Times New Roman"/>
          <w:b/>
          <w:color w:val="000000" w:themeColor="text1"/>
          <w:sz w:val="28"/>
          <w:szCs w:val="24"/>
          <w:highlight w:val="none"/>
          <w14:textFill>
            <w14:solidFill>
              <w14:schemeClr w14:val="tx1"/>
            </w14:solidFill>
          </w14:textFill>
        </w:rPr>
        <w:t>17.投标文件的修改和撤回</w:t>
      </w:r>
      <w:bookmarkEnd w:id="68"/>
      <w:bookmarkEnd w:id="69"/>
      <w:bookmarkEnd w:id="70"/>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17.1投标截止时间以前，投标人可以修改或撤回己递交的投标文件，但应以书面形式通知招标人或招标机构。招标人或招标机构收到书面材料后，向投标人出具签收凭证。</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17.2投标人修改或撒回己递交的投标文件的书面材料，须按本章14.2、15.1的要求签字、盖章、密封、标记，派人送达</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指定的地点，并标明“修改”或“撒回”字样。</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17.3开标后，投标人不得修改或撤回投标文件。否则，修改的投标文件无效；撒回投标文件的其投标保证金不予退还。</w:t>
      </w:r>
    </w:p>
    <w:p>
      <w:pPr>
        <w:jc w:val="center"/>
        <w:rPr>
          <w:rFonts w:ascii="Times New Roman" w:hAnsi="Times New Roman" w:eastAsia="宋体" w:cs="Times New Roman"/>
          <w:b/>
          <w:color w:val="000000" w:themeColor="text1"/>
          <w:sz w:val="28"/>
          <w:szCs w:val="32"/>
          <w:highlight w:val="none"/>
          <w14:textFill>
            <w14:solidFill>
              <w14:schemeClr w14:val="tx1"/>
            </w14:solidFill>
          </w14:textFill>
        </w:rPr>
      </w:pPr>
      <w:bookmarkStart w:id="71" w:name="_Toc370738935"/>
      <w:bookmarkStart w:id="72" w:name="_Toc356889615"/>
      <w:bookmarkStart w:id="73" w:name="_Toc370978605"/>
      <w:r>
        <w:rPr>
          <w:rFonts w:ascii="Times New Roman" w:hAnsi="Times New Roman" w:eastAsia="宋体" w:cs="Times New Roman"/>
          <w:b/>
          <w:color w:val="000000" w:themeColor="text1"/>
          <w:sz w:val="28"/>
          <w:szCs w:val="32"/>
          <w:highlight w:val="none"/>
          <w14:textFill>
            <w14:solidFill>
              <w14:schemeClr w14:val="tx1"/>
            </w14:solidFill>
          </w14:textFill>
        </w:rPr>
        <w:t>六、开标及评标</w:t>
      </w:r>
      <w:bookmarkEnd w:id="71"/>
      <w:bookmarkEnd w:id="72"/>
      <w:bookmarkEnd w:id="73"/>
      <w:bookmarkStart w:id="74" w:name="_Toc370738936"/>
      <w:bookmarkStart w:id="75" w:name="_Toc356889616"/>
      <w:bookmarkStart w:id="76" w:name="_Toc370978606"/>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18.开标</w:t>
      </w:r>
      <w:bookmarkEnd w:id="74"/>
      <w:bookmarkEnd w:id="75"/>
      <w:bookmarkEnd w:id="76"/>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18.1 开标时间及地点：</w:t>
      </w:r>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招标人或招标机构按招标文件</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规定的开标时间、开标地点公开开标。并邀请所有投标人的法定代表人或其授权代表准时参加。</w:t>
      </w:r>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18.2开标程序：</w:t>
      </w:r>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主持人按下列程序开标：</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宣布开标纪律;</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公布在投标截止时间前递交投标文件的投标人名称,并点名确认投标人是否派人到场;</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宣布开标人、唱标人、记录人、监标人等有关人员姓名;</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按照</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规定检查投标文件密封情况,并作好检查记录;</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按照</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规定的随机当众开标,公布《投标函》规定的内容</w:t>
      </w:r>
      <w:r>
        <w:rPr>
          <w:rFonts w:hint="eastAsia" w:ascii="宋体" w:hAnsi="宋体" w:eastAsia="宋体" w:cs="宋体"/>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投标人名称、投标报价等。</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投标人对开标有异议的，应当在开标现场提出。招标人或招标机构将当场作出答复，并制作记录。</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投标人代表、招标人代表、监标人、记录人等有关人员在《开标记录》上签字确认;</w:t>
      </w:r>
    </w:p>
    <w:p>
      <w:pPr>
        <w:numPr>
          <w:ilvl w:val="0"/>
          <w:numId w:val="2"/>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开标会结束。</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77" w:name="_Toc370978607"/>
      <w:bookmarkStart w:id="78" w:name="_Toc356889617"/>
      <w:bookmarkStart w:id="79" w:name="_Toc370738937"/>
      <w:r>
        <w:rPr>
          <w:rFonts w:ascii="Times New Roman" w:hAnsi="Times New Roman" w:eastAsia="宋体" w:cs="Times New Roman"/>
          <w:b/>
          <w:color w:val="000000" w:themeColor="text1"/>
          <w:sz w:val="28"/>
          <w:szCs w:val="24"/>
          <w:highlight w:val="none"/>
          <w14:textFill>
            <w14:solidFill>
              <w14:schemeClr w14:val="tx1"/>
            </w14:solidFill>
          </w14:textFill>
        </w:rPr>
        <w:t>19.评标</w:t>
      </w:r>
      <w:bookmarkEnd w:id="77"/>
      <w:bookmarkEnd w:id="78"/>
      <w:bookmarkEnd w:id="79"/>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19.1评标委员会</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19.1.1评标由招标人依法组建的评标委员会负责。评标委员会人数及成员的确定方式，按照</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的相关规定，在开标前从评标专家库中随机抽取有关技术、经济等方面的专家组成。</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19.1.2评标委员会成员有下列情形之一的，应当回避：</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（1）招标人或投标人的主要负责人的近亲属；</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（2）项目主管部门或者行政监督部门的人员；</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（3）与投标人有经济利益关系，可能影响对投标公正评审的；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（4）曾因在招标、评标以及其他与招标投标有关活动中从事违法行为而受过行政处罚或刑事处罚的。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19.1.3招标人应当向评标委员会提供评标所必需的信息，包括项目概况及需求，招标文件编制和评标办法设置等情况。但不得明示或者暗示其倾向或者排斥特定投标人。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19.1.4招标人应当根据项目规模和技术复杂程度等因素合理确定评标时间。超过三分之一的评标委员会成员认为评标时间不够的，招标人应当适当延长。</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19.1.5评标过程中，评标委员会成员有回避事由、擅离职守或者因健康等原因不能继续评标的，应当及时更换。被更换的评标委员会成员作出的评审结论无效，由更换后的评标委员会成员重新进行评审。</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19.2评标原则</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评标原则遵循公平、公正、科学和择优的原则。</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19.3评标方法</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评标委员会按照第三章规定的评标方法、评审因素、评标标准和评标程序对投标文件进行评审。第三章“评标方法”没有载明的评审因素、方法和标准，不得作为评标依据。</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19.4评标澄清</w:t>
      </w:r>
    </w:p>
    <w:p>
      <w:pPr>
        <w:autoSpaceDE w:val="0"/>
        <w:autoSpaceDN w:val="0"/>
        <w:spacing w:line="360" w:lineRule="auto"/>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p>
      <w:pPr>
        <w:autoSpaceDE w:val="0"/>
        <w:autoSpaceDN w:val="0"/>
        <w:spacing w:line="360" w:lineRule="auto"/>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19.5</w:t>
      </w:r>
      <w:r>
        <w:rPr>
          <w:rFonts w:ascii="Times New Roman" w:hAnsi="Times New Roman" w:eastAsia="宋体" w:cs="Times New Roman"/>
          <w:color w:val="000000" w:themeColor="text1"/>
          <w:kern w:val="0"/>
          <w:sz w:val="24"/>
          <w:szCs w:val="24"/>
          <w:highlight w:val="none"/>
          <w14:textFill>
            <w14:solidFill>
              <w14:schemeClr w14:val="tx1"/>
            </w14:solidFill>
          </w14:textFill>
        </w:rPr>
        <w:t>中标候选人的推荐方法</w:t>
      </w:r>
    </w:p>
    <w:p>
      <w:pPr>
        <w:autoSpaceDE w:val="0"/>
        <w:autoSpaceDN w:val="0"/>
        <w:spacing w:line="360" w:lineRule="auto"/>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根据招标文件第三章载明的评标方法，由评标委员会按照综合评价得分由高到低排序，或评标价格由低到高排序，推荐前三名为中标候选人。也可根据招标人授权，由评委会直接确定中标人。</w:t>
      </w:r>
    </w:p>
    <w:p>
      <w:pPr>
        <w:jc w:val="center"/>
        <w:rPr>
          <w:rFonts w:ascii="Times New Roman" w:hAnsi="Times New Roman" w:eastAsia="宋体" w:cs="Times New Roman"/>
          <w:b/>
          <w:color w:val="000000" w:themeColor="text1"/>
          <w:sz w:val="28"/>
          <w:szCs w:val="32"/>
          <w:highlight w:val="none"/>
          <w14:textFill>
            <w14:solidFill>
              <w14:schemeClr w14:val="tx1"/>
            </w14:solidFill>
          </w14:textFill>
        </w:rPr>
      </w:pPr>
      <w:r>
        <w:rPr>
          <w:rFonts w:ascii="Times New Roman" w:hAnsi="Times New Roman" w:eastAsia="宋体" w:cs="Times New Roman"/>
          <w:b/>
          <w:color w:val="000000" w:themeColor="text1"/>
          <w:sz w:val="28"/>
          <w:szCs w:val="32"/>
          <w:highlight w:val="none"/>
          <w14:textFill>
            <w14:solidFill>
              <w14:schemeClr w14:val="tx1"/>
            </w14:solidFill>
          </w14:textFill>
        </w:rPr>
        <w:t>七、评标结果及定标</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20.</w:t>
      </w:r>
      <w:r>
        <w:rPr>
          <w:rFonts w:hint="eastAsia" w:ascii="Times New Roman" w:hAnsi="Times New Roman" w:eastAsia="宋体" w:cs="Times New Roman"/>
          <w:b/>
          <w:color w:val="000000" w:themeColor="text1"/>
          <w:sz w:val="28"/>
          <w:szCs w:val="24"/>
          <w:highlight w:val="none"/>
          <w14:textFill>
            <w14:solidFill>
              <w14:schemeClr w14:val="tx1"/>
            </w14:solidFill>
          </w14:textFill>
        </w:rPr>
        <w:t>评标结果公示</w:t>
      </w:r>
    </w:p>
    <w:p>
      <w:pPr>
        <w:widowControl/>
        <w:spacing w:line="30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20.1</w:t>
      </w:r>
      <w:r>
        <w:rPr>
          <w:rFonts w:hint="eastAsia" w:ascii="宋体" w:hAnsi="宋体" w:eastAsia="宋体" w:cs="Times New Roman"/>
          <w:color w:val="000000" w:themeColor="text1"/>
          <w:sz w:val="24"/>
          <w:szCs w:val="24"/>
          <w:highlight w:val="none"/>
          <w14:textFill>
            <w14:solidFill>
              <w14:schemeClr w14:val="tx1"/>
            </w14:solidFill>
          </w14:textFill>
        </w:rPr>
        <w:t>招标人公示中标候选人，详见</w:t>
      </w:r>
      <w:r>
        <w:rPr>
          <w:rFonts w:hint="eastAsia" w:ascii="宋体" w:hAnsi="宋体" w:eastAsia="宋体" w:cs="Times New Roman"/>
          <w:b/>
          <w:color w:val="000000" w:themeColor="text1"/>
          <w:sz w:val="24"/>
          <w:szCs w:val="24"/>
          <w:highlight w:val="none"/>
          <w14:textFill>
            <w14:solidFill>
              <w14:schemeClr w14:val="tx1"/>
            </w14:solidFill>
          </w14:textFill>
        </w:rPr>
        <w:t>投标人须知前附表</w:t>
      </w:r>
      <w:r>
        <w:rPr>
          <w:rFonts w:hint="eastAsia" w:ascii="宋体" w:hAnsi="宋体" w:eastAsia="宋体" w:cs="Times New Roman"/>
          <w:color w:val="000000" w:themeColor="text1"/>
          <w:sz w:val="24"/>
          <w:szCs w:val="24"/>
          <w:highlight w:val="none"/>
          <w14:textFill>
            <w14:solidFill>
              <w14:schemeClr w14:val="tx1"/>
            </w14:solidFill>
          </w14:textFill>
        </w:rPr>
        <w:t>。</w:t>
      </w:r>
    </w:p>
    <w:p>
      <w:pPr>
        <w:widowControl/>
        <w:spacing w:line="30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20.2</w:t>
      </w:r>
      <w:r>
        <w:rPr>
          <w:rFonts w:hint="eastAsia" w:ascii="宋体" w:hAnsi="宋体" w:eastAsia="宋体" w:cs="Times New Roman"/>
          <w:color w:val="000000" w:themeColor="text1"/>
          <w:sz w:val="24"/>
          <w:szCs w:val="24"/>
          <w:highlight w:val="none"/>
          <w14:textFill>
            <w14:solidFill>
              <w14:schemeClr w14:val="tx1"/>
            </w14:solidFill>
          </w14:textFill>
        </w:rPr>
        <w:t>投标人或者其他利害关系人对依法必须进行招标的项目的评标结果有异议的，应当在中标候选人公示期间提出。招标人应当自收到异议之日起</w:t>
      </w:r>
      <w:r>
        <w:rPr>
          <w:rFonts w:ascii="宋体" w:hAnsi="宋体" w:eastAsia="宋体" w:cs="Times New Roman"/>
          <w:color w:val="000000" w:themeColor="text1"/>
          <w:sz w:val="24"/>
          <w:szCs w:val="24"/>
          <w:highlight w:val="none"/>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日内作出答复；作出答复前，应当暂停招标投标活动。</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21.</w:t>
      </w:r>
      <w:r>
        <w:rPr>
          <w:rFonts w:hint="eastAsia" w:ascii="Times New Roman" w:hAnsi="Times New Roman" w:eastAsia="宋体" w:cs="Times New Roman"/>
          <w:b/>
          <w:color w:val="000000" w:themeColor="text1"/>
          <w:sz w:val="28"/>
          <w:szCs w:val="24"/>
          <w:highlight w:val="none"/>
          <w14:textFill>
            <w14:solidFill>
              <w14:schemeClr w14:val="tx1"/>
            </w14:solidFill>
          </w14:textFill>
        </w:rPr>
        <w:t>定标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详见</w:t>
      </w:r>
      <w:r>
        <w:rPr>
          <w:rFonts w:hint="eastAsia" w:ascii="宋体" w:hAnsi="宋体" w:eastAsia="宋体" w:cs="Times New Roman"/>
          <w:b/>
          <w:color w:val="000000" w:themeColor="text1"/>
          <w:sz w:val="24"/>
          <w:szCs w:val="24"/>
          <w:highlight w:val="none"/>
          <w14:textFill>
            <w14:solidFill>
              <w14:schemeClr w14:val="tx1"/>
            </w14:solidFill>
          </w14:textFill>
        </w:rPr>
        <w:t>投标人须知前附表</w:t>
      </w:r>
      <w:r>
        <w:rPr>
          <w:rFonts w:hint="eastAsia" w:ascii="宋体" w:hAnsi="宋体" w:eastAsia="宋体" w:cs="Times New Roman"/>
          <w:color w:val="000000" w:themeColor="text1"/>
          <w:sz w:val="24"/>
          <w:szCs w:val="24"/>
          <w:highlight w:val="none"/>
          <w14:textFill>
            <w14:solidFill>
              <w14:schemeClr w14:val="tx1"/>
            </w14:solidFill>
          </w14:textFill>
        </w:rPr>
        <w:t>。</w:t>
      </w:r>
    </w:p>
    <w:p>
      <w:pPr>
        <w:jc w:val="center"/>
        <w:rPr>
          <w:rFonts w:ascii="Times New Roman" w:hAnsi="Times New Roman" w:eastAsia="宋体" w:cs="Times New Roman"/>
          <w:b/>
          <w:color w:val="000000" w:themeColor="text1"/>
          <w:sz w:val="28"/>
          <w:szCs w:val="32"/>
          <w:highlight w:val="none"/>
          <w14:textFill>
            <w14:solidFill>
              <w14:schemeClr w14:val="tx1"/>
            </w14:solidFill>
          </w14:textFill>
        </w:rPr>
      </w:pPr>
      <w:bookmarkStart w:id="80" w:name="_Toc370978611"/>
      <w:bookmarkStart w:id="81" w:name="_Toc356889621"/>
      <w:bookmarkStart w:id="82" w:name="_Toc370738941"/>
      <w:r>
        <w:rPr>
          <w:rFonts w:ascii="Times New Roman" w:hAnsi="Times New Roman" w:eastAsia="宋体" w:cs="Times New Roman"/>
          <w:b/>
          <w:color w:val="000000" w:themeColor="text1"/>
          <w:sz w:val="28"/>
          <w:szCs w:val="32"/>
          <w:highlight w:val="none"/>
          <w14:textFill>
            <w14:solidFill>
              <w14:schemeClr w14:val="tx1"/>
            </w14:solidFill>
          </w14:textFill>
        </w:rPr>
        <w:t>八、授予合同</w:t>
      </w:r>
      <w:bookmarkEnd w:id="80"/>
      <w:bookmarkEnd w:id="81"/>
      <w:bookmarkEnd w:id="82"/>
      <w:bookmarkStart w:id="83" w:name="_Toc356889622"/>
      <w:bookmarkStart w:id="84" w:name="_Toc370738942"/>
      <w:bookmarkStart w:id="85" w:name="_Toc370978612"/>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22.中标通知书</w:t>
      </w:r>
      <w:bookmarkEnd w:id="83"/>
      <w:bookmarkEnd w:id="84"/>
      <w:bookmarkEnd w:id="85"/>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22.1评标结果公示结束后无异议，招标人应当在确定中标人后5日内发出中标通知书，发放方式详见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22.2中标候选人的经营、财务状况发生较大变化或者存在违法行为，招标人认为可能影响其履约能力的，应当在发出中标通知书前由原评标委员会按照招标文件规定的标准和方法审查确认。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22.</w:t>
      </w:r>
      <w:r>
        <w:rPr>
          <w:rFonts w:hint="eastAsia" w:ascii="Times New Roman" w:hAnsi="Times New Roman" w:eastAsia="宋体" w:cs="Times New Roman"/>
          <w:color w:val="000000" w:themeColor="text1"/>
          <w:sz w:val="24"/>
          <w:szCs w:val="24"/>
          <w:highlight w:val="none"/>
          <w14:textFill>
            <w14:solidFill>
              <w14:schemeClr w14:val="tx1"/>
            </w14:solidFill>
          </w14:textFill>
        </w:rPr>
        <w:t>3</w:t>
      </w:r>
      <w:r>
        <w:rPr>
          <w:rFonts w:ascii="Times New Roman" w:hAnsi="Times New Roman" w:eastAsia="宋体" w:cs="Times New Roman"/>
          <w:color w:val="000000" w:themeColor="text1"/>
          <w:sz w:val="24"/>
          <w:szCs w:val="24"/>
          <w:highlight w:val="none"/>
          <w14:textFill>
            <w14:solidFill>
              <w14:schemeClr w14:val="tx1"/>
            </w14:solidFill>
          </w14:textFill>
        </w:rPr>
        <w:t>中标通知书将是本合同的一个组成部分。</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86" w:name="_Toc356889623"/>
      <w:bookmarkStart w:id="87" w:name="_Toc370978613"/>
      <w:bookmarkStart w:id="88" w:name="_Toc370738943"/>
      <w:r>
        <w:rPr>
          <w:rFonts w:ascii="Times New Roman" w:hAnsi="Times New Roman" w:eastAsia="宋体" w:cs="Times New Roman"/>
          <w:b/>
          <w:color w:val="000000" w:themeColor="text1"/>
          <w:sz w:val="28"/>
          <w:szCs w:val="24"/>
          <w:highlight w:val="none"/>
          <w14:textFill>
            <w14:solidFill>
              <w14:schemeClr w14:val="tx1"/>
            </w14:solidFill>
          </w14:textFill>
        </w:rPr>
        <w:t>23.签订合同</w:t>
      </w:r>
      <w:bookmarkEnd w:id="86"/>
      <w:bookmarkEnd w:id="87"/>
      <w:bookmarkEnd w:id="88"/>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23.1中标人应按中标通知书规定的时间、地点并向买方提供履约担保（如招标文件要求提供时）后，与买方签订中标经济合同，否则按开标后撤回投标处理。</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23.2中标通知书、中标人的投标文件、招标文件及评标过程中有关澄清文件均应作为合同附件。</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89" w:name="_Toc370738944"/>
      <w:bookmarkStart w:id="90" w:name="_Toc356889624"/>
      <w:bookmarkStart w:id="91" w:name="_Toc370978614"/>
      <w:r>
        <w:rPr>
          <w:rFonts w:ascii="Times New Roman" w:hAnsi="Times New Roman" w:eastAsia="宋体" w:cs="Times New Roman"/>
          <w:b/>
          <w:color w:val="000000" w:themeColor="text1"/>
          <w:sz w:val="28"/>
          <w:szCs w:val="24"/>
          <w:highlight w:val="none"/>
          <w14:textFill>
            <w14:solidFill>
              <w14:schemeClr w14:val="tx1"/>
            </w14:solidFill>
          </w14:textFill>
        </w:rPr>
        <w:t>24.履约担保</w:t>
      </w:r>
      <w:bookmarkEnd w:id="89"/>
      <w:bookmarkEnd w:id="90"/>
      <w:bookmarkEnd w:id="91"/>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24.1招标文件要求中标人提交履约保证金的，中标人应当按照招标文件的要求提交。</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24.2履约担保形式、担保金额、提交时间详见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24.3中标人如未按第24.1及24.2条的规定办理，招标人有权撤销其中标资格且不退还投标保证金。</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24.4中标人不履行与招标人订立合同的，履约保证金不予退还，给招标人造成的损失超过履约保证金数额的，还应当对超过部分予以赔偿；没有提交履约保证金的，应当对招标人的损失承担赔偿责任。</w:t>
      </w:r>
    </w:p>
    <w:p>
      <w:pPr>
        <w:jc w:val="center"/>
        <w:rPr>
          <w:rFonts w:ascii="Times New Roman" w:hAnsi="Times New Roman" w:eastAsia="宋体" w:cs="Times New Roman"/>
          <w:b/>
          <w:color w:val="000000" w:themeColor="text1"/>
          <w:sz w:val="28"/>
          <w:szCs w:val="32"/>
          <w:highlight w:val="none"/>
          <w14:textFill>
            <w14:solidFill>
              <w14:schemeClr w14:val="tx1"/>
            </w14:solidFill>
          </w14:textFill>
        </w:rPr>
      </w:pPr>
      <w:bookmarkStart w:id="92" w:name="_Toc370738945"/>
      <w:bookmarkStart w:id="93" w:name="_Toc370978615"/>
      <w:bookmarkStart w:id="94" w:name="_Toc356889625"/>
      <w:r>
        <w:rPr>
          <w:rFonts w:ascii="Times New Roman" w:hAnsi="Times New Roman" w:eastAsia="宋体" w:cs="Times New Roman"/>
          <w:b/>
          <w:color w:val="000000" w:themeColor="text1"/>
          <w:sz w:val="28"/>
          <w:szCs w:val="32"/>
          <w:highlight w:val="none"/>
          <w14:textFill>
            <w14:solidFill>
              <w14:schemeClr w14:val="tx1"/>
            </w14:solidFill>
          </w14:textFill>
        </w:rPr>
        <w:t>九、重新招标和不再招标</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25.重新招标</w:t>
      </w:r>
      <w:bookmarkEnd w:id="92"/>
      <w:bookmarkEnd w:id="93"/>
      <w:bookmarkEnd w:id="94"/>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25.1有下列情况之一的，招标人应重新招标：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（1）招标公告截止后或投标截止时间止，投标人少于3个的；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（2）经评标委员会评审后否决所有投标人的。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25.2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26.不再招标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26.1重新招标的投标人仍然少于三个的，按照招标投标法律法规规定的程序开标和评标。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26.2　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jc w:val="center"/>
        <w:rPr>
          <w:rFonts w:ascii="Times New Roman" w:hAnsi="Times New Roman" w:eastAsia="宋体" w:cs="Times New Roman"/>
          <w:b/>
          <w:color w:val="000000" w:themeColor="text1"/>
          <w:sz w:val="28"/>
          <w:szCs w:val="32"/>
          <w:highlight w:val="none"/>
          <w14:textFill>
            <w14:solidFill>
              <w14:schemeClr w14:val="tx1"/>
            </w14:solidFill>
          </w14:textFill>
        </w:rPr>
      </w:pPr>
      <w:bookmarkStart w:id="95" w:name="_Toc370978616"/>
      <w:bookmarkStart w:id="96" w:name="_Toc356889626"/>
      <w:bookmarkStart w:id="97" w:name="_Toc370738946"/>
      <w:r>
        <w:rPr>
          <w:rFonts w:ascii="Times New Roman" w:hAnsi="Times New Roman" w:eastAsia="宋体" w:cs="Times New Roman"/>
          <w:b/>
          <w:color w:val="000000" w:themeColor="text1"/>
          <w:sz w:val="28"/>
          <w:szCs w:val="32"/>
          <w:highlight w:val="none"/>
          <w14:textFill>
            <w14:solidFill>
              <w14:schemeClr w14:val="tx1"/>
            </w14:solidFill>
          </w14:textFill>
        </w:rPr>
        <w:t>十、纪律、监督和投诉</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27.纪律要求</w:t>
      </w:r>
      <w:bookmarkEnd w:id="95"/>
      <w:bookmarkEnd w:id="96"/>
      <w:bookmarkEnd w:id="97"/>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27.1对招标人的纪律要求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招标人不得泄漏招标投标活动中应当保密的情况和资料，不得与投标人串通损害国家利益、社会公共利益或者他人合法权益，禁止招标人与投标人串通投标。</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highlight w:val="none"/>
          <w14:textFill>
            <w14:solidFill>
              <w14:schemeClr w14:val="tx1"/>
            </w14:solidFill>
          </w14:textFill>
        </w:rPr>
        <w:t>     27.1.1</w:t>
      </w:r>
      <w:r>
        <w:rPr>
          <w:rFonts w:ascii="Times New Roman" w:hAnsi="Times New Roman" w:eastAsia="宋体" w:cs="Times New Roman"/>
          <w:color w:val="000000" w:themeColor="text1"/>
          <w:sz w:val="24"/>
          <w:szCs w:val="24"/>
          <w:highlight w:val="none"/>
          <w14:textFill>
            <w14:solidFill>
              <w14:schemeClr w14:val="tx1"/>
            </w14:solidFill>
          </w14:textFill>
        </w:rPr>
        <w:t>有下列情形之一的，属于招标人与投标人串通投标：</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（1）招标人在开标前开启投标文件并将有关信息泄露给其他投标人;</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（2）招标人直接或者间接向投标人泄露标底、评标委员会成员等信息；</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（3）招标人明示或者暗示投标人压低或者抬高投标报价；</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（4）招标人授意投标人撤换、修改投标文件；</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（5）招标人明示或者暗示投标人为特定投标人中标提供方便；</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（6）招标人与投标人为谋求特定投标人中标而采取的其他串通行为。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27.2对投标人的纪律要求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27.2.1有下列情形之一的，属于投标人相互串通投标：</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（1）投标人之间协商投标报价等投标文件的实质性内容；</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（2）投标人之间约定中标人；</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（3）投标人之间约定部分投标人放弃投标或者中标；</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（4）属于同一集团、协会、商会等组织成员的投标人按照该组织要求协同投标；</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（5）投标人之间为谋取中标或者排斥特定投标人而采取的其他联合行动。</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27.2.2有下列情形之一的，视为投标人相互串通投标：</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（1）不同投标人的投标文件由同一单位或者个人编制；</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（2）不同投标人委托同一单位或者个人办理投标事宜；</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（3）不同投标人的投标文件载明的项目管理成员为同一人；</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（4）不同投标人的投标文件异常一致或者投标报价呈规律性差异；</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（5）不同投标人的投标文件相互混装；</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（6）不同投标人的投标保证金从同一单位或者个人的账户转出。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27.2.3使用通过受让或者租借等方式获取的资格、资质证书投标的，属于以他人名义投标。</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 xml:space="preserve">    27.2.4投标人有下列情形之一的，属于招标投标法第三十三条规定的以其他方式弄虚作假的行为：</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（一）使用伪造、变造的许可证件；</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（二）提供虚假的财务状况或者虚假业绩；</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（三）提供虚假的项目负责人或者主要技术人员简历、劳动关系证明；</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（四）提供虚假的信用状况；</w:t>
      </w:r>
      <w:r>
        <w:rPr>
          <w:rFonts w:ascii="Times New Roman" w:hAnsi="Times New Roman" w:eastAsia="宋体" w:cs="Times New Roman"/>
          <w:color w:val="000000" w:themeColor="text1"/>
          <w:sz w:val="24"/>
          <w:szCs w:val="24"/>
          <w:highlight w:val="none"/>
          <w14:textFill>
            <w14:solidFill>
              <w14:schemeClr w14:val="tx1"/>
            </w14:solidFill>
          </w14:textFill>
        </w:rPr>
        <w:br w:type="textWrapping"/>
      </w:r>
      <w:r>
        <w:rPr>
          <w:rFonts w:ascii="Times New Roman" w:hAnsi="Times New Roman" w:eastAsia="宋体" w:cs="Times New Roman"/>
          <w:color w:val="000000" w:themeColor="text1"/>
          <w:sz w:val="24"/>
          <w:szCs w:val="24"/>
          <w:highlight w:val="none"/>
          <w14:textFill>
            <w14:solidFill>
              <w14:schemeClr w14:val="tx1"/>
            </w14:solidFill>
          </w14:textFill>
        </w:rPr>
        <w:t>（五）其它弄虚作假的行为。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27.3对评标委员会成员的纪律要求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评标委员会成员不得收受他人的财物或者其它好处，不得向他人透露对投标文件的评审和比较、中标候选人的推荐情况以及评标有关的其他情况。在评标活动中，评标委员会成员不得擅离职守，影响评标程序正常进行，不得使用本招标文件没有规定的评审因素进行评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27.4对与评标活动有关工作人员的纪律要求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与评标活动有关的工作人员不得收受他人的财物或者其它好处，不得向他人透露对投标文件的评审和比较、中标候选人的推荐情况以及评标的其他情况。在评标活动中，与评标活动有关的工作人员不得擅离职守，影响评标程序正常进行。</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28.监督</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本次招标活动接受有关行政监督部门监督，具体监督部门详见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29.投诉</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29.1投标人和其他利害关系人认为本次招标活动违反法律、法规和规章规定的，可以自知道或者应当知道之日起10日内有权向有关行政监督部门投诉。</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29.2对招标文件有异议的应在领购招标文件后10日内，或投标截止时间/开标时间10日前提出；对开标程序及过程有异议的，投诉人应在开标现场提出；对评标结果有异议的，投诉人应在公示评标结果后10日内提出。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投诉应当有明确的请求和必要的证明材料，并提交经投诉单位法人或授权代表签字、加盖公章的《投诉书》。</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29.3投诉人应保证其提出投诉内容及相应证明材料的真实性及来源的合法性，并依法承担相应的法律责任或赔偿责任。</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29.4行政监督部门自收到投诉后，按照国家发改委等九部委2013年23号令修改过的国家发改委七部委2004年11号令关于投诉处理办法的相关规定及程序进行处理。</w:t>
      </w:r>
    </w:p>
    <w:p>
      <w:pPr>
        <w:jc w:val="center"/>
        <w:rPr>
          <w:rFonts w:ascii="Times New Roman" w:hAnsi="Times New Roman" w:eastAsia="宋体" w:cs="Times New Roman"/>
          <w:b/>
          <w:color w:val="000000" w:themeColor="text1"/>
          <w:sz w:val="28"/>
          <w:szCs w:val="32"/>
          <w:highlight w:val="none"/>
          <w14:textFill>
            <w14:solidFill>
              <w14:schemeClr w14:val="tx1"/>
            </w14:solidFill>
          </w14:textFill>
        </w:rPr>
      </w:pPr>
      <w:bookmarkStart w:id="98" w:name="_Toc370978617"/>
      <w:bookmarkStart w:id="99" w:name="_Toc370738947"/>
      <w:bookmarkStart w:id="100" w:name="_Toc356889627"/>
      <w:r>
        <w:rPr>
          <w:rFonts w:ascii="Times New Roman" w:hAnsi="Times New Roman" w:eastAsia="宋体" w:cs="Times New Roman"/>
          <w:b/>
          <w:color w:val="000000" w:themeColor="text1"/>
          <w:sz w:val="28"/>
          <w:szCs w:val="32"/>
          <w:highlight w:val="none"/>
          <w14:textFill>
            <w14:solidFill>
              <w14:schemeClr w14:val="tx1"/>
            </w14:solidFill>
          </w14:textFill>
        </w:rPr>
        <w:t>十一、招标代理服务费及入场交易服务费</w:t>
      </w:r>
      <w:bookmarkEnd w:id="98"/>
      <w:bookmarkEnd w:id="99"/>
      <w:bookmarkEnd w:id="100"/>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101" w:name="_Toc370738948"/>
      <w:bookmarkStart w:id="102" w:name="_Toc356889628"/>
      <w:bookmarkStart w:id="103" w:name="_Toc370978618"/>
      <w:r>
        <w:rPr>
          <w:rFonts w:ascii="Times New Roman" w:hAnsi="Times New Roman" w:eastAsia="宋体" w:cs="Times New Roman"/>
          <w:b/>
          <w:color w:val="000000" w:themeColor="text1"/>
          <w:sz w:val="28"/>
          <w:szCs w:val="24"/>
          <w:highlight w:val="none"/>
          <w14:textFill>
            <w14:solidFill>
              <w14:schemeClr w14:val="tx1"/>
            </w14:solidFill>
          </w14:textFill>
        </w:rPr>
        <w:t>30.招标代理服务费</w:t>
      </w:r>
      <w:bookmarkEnd w:id="101"/>
      <w:bookmarkEnd w:id="102"/>
      <w:bookmarkEnd w:id="103"/>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30.1招标代理服务费的支付：由中标人支付详见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r>
        <w:rPr>
          <w:rFonts w:ascii="Times New Roman" w:hAnsi="Times New Roman" w:eastAsia="宋体" w:cs="Times New Roman"/>
          <w:color w:val="000000" w:themeColor="text1"/>
          <w:sz w:val="24"/>
          <w:szCs w:val="24"/>
          <w:highlight w:val="none"/>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30.2招标代理服务费为银行支票、银行汇票或现金。</w:t>
      </w:r>
    </w:p>
    <w:p>
      <w:pPr>
        <w:spacing w:line="360" w:lineRule="auto"/>
        <w:rPr>
          <w:rFonts w:ascii="Times New Roman" w:hAnsi="Times New Roman" w:eastAsia="宋体" w:cs="Times New Roman"/>
          <w:b/>
          <w:color w:val="000000" w:themeColor="text1"/>
          <w:sz w:val="28"/>
          <w:szCs w:val="24"/>
          <w:highlight w:val="none"/>
          <w14:textFill>
            <w14:solidFill>
              <w14:schemeClr w14:val="tx1"/>
            </w14:solidFill>
          </w14:textFill>
        </w:rPr>
      </w:pPr>
      <w:bookmarkStart w:id="104" w:name="_Toc356889629"/>
      <w:bookmarkStart w:id="105" w:name="_Toc370738949"/>
      <w:bookmarkStart w:id="106" w:name="_Toc370978619"/>
      <w:r>
        <w:rPr>
          <w:rFonts w:ascii="Times New Roman" w:hAnsi="Times New Roman" w:eastAsia="宋体" w:cs="Times New Roman"/>
          <w:b/>
          <w:color w:val="000000" w:themeColor="text1"/>
          <w:sz w:val="28"/>
          <w:szCs w:val="24"/>
          <w:highlight w:val="none"/>
          <w14:textFill>
            <w14:solidFill>
              <w14:schemeClr w14:val="tx1"/>
            </w14:solidFill>
          </w14:textFill>
        </w:rPr>
        <w:t>31.</w:t>
      </w:r>
      <w:bookmarkEnd w:id="104"/>
      <w:bookmarkEnd w:id="105"/>
      <w:bookmarkEnd w:id="106"/>
      <w:bookmarkStart w:id="107" w:name="_Toc179632605"/>
      <w:bookmarkStart w:id="108" w:name="_Toc144974554"/>
      <w:bookmarkStart w:id="109" w:name="_Toc152042364"/>
      <w:bookmarkStart w:id="110" w:name="_Toc152045587"/>
      <w:r>
        <w:rPr>
          <w:rFonts w:ascii="Times New Roman" w:hAnsi="Times New Roman" w:eastAsia="宋体" w:cs="Times New Roman"/>
          <w:b/>
          <w:color w:val="000000" w:themeColor="text1"/>
          <w:sz w:val="28"/>
          <w:szCs w:val="24"/>
          <w:highlight w:val="none"/>
          <w14:textFill>
            <w14:solidFill>
              <w14:schemeClr w14:val="tx1"/>
            </w14:solidFill>
          </w14:textFill>
        </w:rPr>
        <w:t>招标文件售价</w:t>
      </w:r>
    </w:p>
    <w:p>
      <w:pPr>
        <w:spacing w:line="30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详见</w:t>
      </w:r>
      <w:r>
        <w:rPr>
          <w:rFonts w:ascii="Times New Roman" w:hAnsi="Times New Roman" w:eastAsia="宋体" w:cs="Times New Roman"/>
          <w:b/>
          <w:color w:val="000000" w:themeColor="text1"/>
          <w:sz w:val="24"/>
          <w:szCs w:val="24"/>
          <w:highlight w:val="none"/>
          <w14:textFill>
            <w14:solidFill>
              <w14:schemeClr w14:val="tx1"/>
            </w14:solidFill>
          </w14:textFill>
        </w:rPr>
        <w:t>投标人须知前附表。</w:t>
      </w:r>
    </w:p>
    <w:p>
      <w:pPr>
        <w:tabs>
          <w:tab w:val="left" w:pos="1050"/>
          <w:tab w:val="left" w:pos="1470"/>
        </w:tabs>
        <w:adjustRightInd w:val="0"/>
        <w:spacing w:line="440" w:lineRule="exact"/>
        <w:rPr>
          <w:rFonts w:ascii="Times New Roman" w:hAnsi="Times New Roman" w:eastAsia="宋体" w:cs="Times New Roman"/>
          <w:b/>
          <w:color w:val="000000" w:themeColor="text1"/>
          <w:sz w:val="24"/>
          <w:szCs w:val="24"/>
          <w:highlight w:val="none"/>
          <w14:textFill>
            <w14:solidFill>
              <w14:schemeClr w14:val="tx1"/>
            </w14:solidFill>
          </w14:textFill>
        </w:rPr>
      </w:pPr>
    </w:p>
    <w:p>
      <w:pPr>
        <w:jc w:val="center"/>
        <w:rPr>
          <w:rFonts w:ascii="Times New Roman" w:hAnsi="Times New Roman" w:eastAsia="宋体" w:cs="Times New Roman"/>
          <w:b/>
          <w:color w:val="000000" w:themeColor="text1"/>
          <w:sz w:val="28"/>
          <w:szCs w:val="32"/>
          <w:highlight w:val="none"/>
          <w14:textFill>
            <w14:solidFill>
              <w14:schemeClr w14:val="tx1"/>
            </w14:solidFill>
          </w14:textFill>
        </w:rPr>
      </w:pPr>
      <w:r>
        <w:rPr>
          <w:rFonts w:ascii="Times New Roman" w:hAnsi="Times New Roman" w:eastAsia="宋体" w:cs="Times New Roman"/>
          <w:b/>
          <w:color w:val="000000" w:themeColor="text1"/>
          <w:sz w:val="28"/>
          <w:szCs w:val="32"/>
          <w:highlight w:val="none"/>
          <w14:textFill>
            <w14:solidFill>
              <w14:schemeClr w14:val="tx1"/>
            </w14:solidFill>
          </w14:textFill>
        </w:rPr>
        <w:t>十二、其他</w:t>
      </w:r>
    </w:p>
    <w:p>
      <w:pP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见投标人须知前附表要求</w:t>
      </w:r>
    </w:p>
    <w:p>
      <w:pPr>
        <w:tabs>
          <w:tab w:val="left" w:pos="1050"/>
          <w:tab w:val="left" w:pos="1470"/>
        </w:tabs>
        <w:adjustRightInd w:val="0"/>
        <w:spacing w:line="440" w:lineRule="exact"/>
        <w:rPr>
          <w:rFonts w:ascii="Times New Roman" w:hAnsi="Times New Roman" w:eastAsia="宋体" w:cs="Times New Roman"/>
          <w:color w:val="000000" w:themeColor="text1"/>
          <w:sz w:val="30"/>
          <w:szCs w:val="30"/>
          <w:highlight w:val="none"/>
          <w14:textFill>
            <w14:solidFill>
              <w14:schemeClr w14:val="tx1"/>
            </w14:solidFill>
          </w14:textFill>
        </w:rPr>
        <w:sectPr>
          <w:headerReference r:id="rId8" w:type="default"/>
          <w:pgSz w:w="11906" w:h="16838"/>
          <w:pgMar w:top="1402" w:right="1616" w:bottom="1134" w:left="1365" w:header="851" w:footer="992" w:gutter="0"/>
          <w:cols w:space="720" w:num="1"/>
          <w:docGrid w:type="linesAndChars" w:linePitch="312" w:charSpace="0"/>
        </w:sectPr>
      </w:pPr>
    </w:p>
    <w:p>
      <w:pPr>
        <w:keepNext/>
        <w:keepLines/>
        <w:spacing w:line="400" w:lineRule="exact"/>
        <w:ind w:firstLine="883" w:firstLineChars="200"/>
        <w:jc w:val="center"/>
        <w:outlineLvl w:val="0"/>
        <w:rPr>
          <w:rFonts w:ascii="Calibri" w:hAnsi="Calibri" w:eastAsia="黑体" w:cs="Times New Roman"/>
          <w:b/>
          <w:bCs/>
          <w:color w:val="000000" w:themeColor="text1"/>
          <w:kern w:val="44"/>
          <w:sz w:val="44"/>
          <w:szCs w:val="44"/>
          <w:highlight w:val="none"/>
          <w14:textFill>
            <w14:solidFill>
              <w14:schemeClr w14:val="tx1"/>
            </w14:solidFill>
          </w14:textFill>
        </w:rPr>
      </w:pPr>
      <w:bookmarkStart w:id="111" w:name="_Toc489972851"/>
      <w:r>
        <w:rPr>
          <w:rFonts w:ascii="Calibri" w:hAnsi="Calibri" w:eastAsia="黑体" w:cs="Times New Roman"/>
          <w:b/>
          <w:bCs/>
          <w:color w:val="000000" w:themeColor="text1"/>
          <w:kern w:val="44"/>
          <w:sz w:val="44"/>
          <w:szCs w:val="44"/>
          <w:highlight w:val="none"/>
          <w14:textFill>
            <w14:solidFill>
              <w14:schemeClr w14:val="tx1"/>
            </w14:solidFill>
          </w14:textFill>
        </w:rPr>
        <w:t>第三章评标方法</w:t>
      </w:r>
      <w:bookmarkEnd w:id="107"/>
      <w:bookmarkEnd w:id="108"/>
      <w:bookmarkEnd w:id="109"/>
      <w:bookmarkEnd w:id="110"/>
      <w:bookmarkEnd w:id="111"/>
    </w:p>
    <w:p>
      <w:pPr>
        <w:keepNext/>
        <w:keepLines/>
        <w:numPr>
          <w:ilvl w:val="1"/>
          <w:numId w:val="0"/>
        </w:numPr>
        <w:tabs>
          <w:tab w:val="left" w:pos="708"/>
        </w:tabs>
        <w:adjustRightInd w:val="0"/>
        <w:snapToGrid w:val="0"/>
        <w:spacing w:before="156" w:after="156" w:line="400" w:lineRule="exact"/>
        <w:ind w:firstLine="3092" w:firstLineChars="1100"/>
        <w:outlineLvl w:val="1"/>
        <w:rPr>
          <w:rFonts w:ascii="宋体" w:hAnsi="宋体" w:eastAsia="宋体" w:cs="Times New Roman"/>
          <w:b/>
          <w:bCs/>
          <w:color w:val="000000" w:themeColor="text1"/>
          <w:kern w:val="0"/>
          <w:sz w:val="28"/>
          <w:szCs w:val="28"/>
          <w:highlight w:val="none"/>
          <w14:textFill>
            <w14:solidFill>
              <w14:schemeClr w14:val="tx1"/>
            </w14:solidFill>
          </w14:textFill>
        </w:rPr>
      </w:pPr>
      <w:bookmarkStart w:id="112" w:name="_Toc179632606"/>
      <w:bookmarkStart w:id="113" w:name="_Toc144974555"/>
      <w:bookmarkStart w:id="114" w:name="_Toc152042365"/>
      <w:bookmarkStart w:id="115" w:name="_Toc152045588"/>
      <w:r>
        <w:rPr>
          <w:rFonts w:hint="eastAsia" w:ascii="宋体" w:hAnsi="宋体" w:eastAsia="宋体" w:cs="Times New Roman"/>
          <w:b/>
          <w:bCs/>
          <w:color w:val="000000" w:themeColor="text1"/>
          <w:kern w:val="0"/>
          <w:sz w:val="28"/>
          <w:szCs w:val="28"/>
          <w:highlight w:val="none"/>
          <w14:textFill>
            <w14:solidFill>
              <w14:schemeClr w14:val="tx1"/>
            </w14:solidFill>
          </w14:textFill>
        </w:rPr>
        <w:t>第一节 评标方法前附表</w:t>
      </w:r>
    </w:p>
    <w:p>
      <w:pPr>
        <w:spacing w:line="400" w:lineRule="exact"/>
        <w:rPr>
          <w:rFonts w:ascii="Times New Roman" w:hAnsi="Times New Roman" w:eastAsia="宋体" w:cs="Times New Roman"/>
          <w:b/>
          <w:color w:val="000000" w:themeColor="text1"/>
          <w:szCs w:val="28"/>
          <w:highlight w:val="none"/>
          <w14:textFill>
            <w14:solidFill>
              <w14:schemeClr w14:val="tx1"/>
            </w14:solidFill>
          </w14:textFill>
        </w:rPr>
      </w:pPr>
      <w:r>
        <w:rPr>
          <w:rFonts w:hint="eastAsia" w:ascii="Times New Roman" w:hAnsi="Times New Roman" w:eastAsia="宋体" w:cs="Times New Roman"/>
          <w:b/>
          <w:color w:val="000000" w:themeColor="text1"/>
          <w:szCs w:val="28"/>
          <w:highlight w:val="none"/>
          <w14:textFill>
            <w14:solidFill>
              <w14:schemeClr w14:val="tx1"/>
            </w14:solidFill>
          </w14:textFill>
        </w:rPr>
        <w:t>评标方法前附表是对《评标方法》所对应条款的具体补充和修改，如有不一致，应以本前附表为准。</w:t>
      </w:r>
    </w:p>
    <w:p>
      <w:pPr>
        <w:spacing w:line="400" w:lineRule="exact"/>
        <w:rPr>
          <w:rFonts w:ascii="宋体" w:hAnsi="宋体" w:eastAsia="宋体" w:cs="Times New Roman"/>
          <w:color w:val="000000" w:themeColor="text1"/>
          <w:highlight w:val="none"/>
          <w14:textFill>
            <w14:solidFill>
              <w14:schemeClr w14:val="tx1"/>
            </w14:solidFill>
          </w14:textFill>
        </w:rPr>
      </w:pPr>
      <w:bookmarkStart w:id="116" w:name="_Toc450645164"/>
      <w:bookmarkStart w:id="117" w:name="_Toc481146277"/>
      <w:bookmarkStart w:id="118" w:name="_Toc26591"/>
    </w:p>
    <w:tbl>
      <w:tblPr>
        <w:tblStyle w:val="58"/>
        <w:tblW w:w="1417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335"/>
        <w:gridCol w:w="2316"/>
        <w:gridCol w:w="5388"/>
        <w:gridCol w:w="255"/>
        <w:gridCol w:w="41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207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条款号</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评审因素</w:t>
            </w:r>
          </w:p>
        </w:tc>
        <w:tc>
          <w:tcPr>
            <w:tcW w:w="53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2.1.1</w:t>
            </w:r>
          </w:p>
        </w:tc>
        <w:tc>
          <w:tcPr>
            <w:tcW w:w="1335"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形式评审标准</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w:t>
            </w:r>
            <w:r>
              <w:rPr>
                <w:rFonts w:hint="eastAsia" w:ascii="Times New Roman" w:hAnsi="Times New Roman" w:eastAsia="宋体" w:cs="Times New Roman"/>
                <w:color w:val="000000" w:themeColor="text1"/>
                <w:szCs w:val="21"/>
                <w:highlight w:val="none"/>
                <w14:textFill>
                  <w14:solidFill>
                    <w14:schemeClr w14:val="tx1"/>
                  </w14:solidFill>
                </w14:textFill>
              </w:rPr>
              <w:t>保证金</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与</w:t>
            </w:r>
            <w:r>
              <w:rPr>
                <w:rFonts w:hint="eastAsia" w:ascii="Times New Roman" w:hAnsi="Times New Roman" w:eastAsia="宋体" w:cs="Times New Roman"/>
                <w:color w:val="000000" w:themeColor="text1"/>
                <w:szCs w:val="21"/>
                <w:highlight w:val="none"/>
                <w14:textFill>
                  <w14:solidFill>
                    <w14:schemeClr w14:val="tx1"/>
                  </w14:solidFill>
                </w14:textFill>
              </w:rPr>
              <w:t>投标人名称</w:t>
            </w:r>
            <w:r>
              <w:rPr>
                <w:rFonts w:ascii="Times New Roman" w:hAnsi="Times New Roman" w:eastAsia="宋体" w:cs="Times New Roman"/>
                <w:color w:val="000000" w:themeColor="text1"/>
                <w:szCs w:val="21"/>
                <w:highlight w:val="none"/>
                <w14:textFill>
                  <w14:solidFill>
                    <w14:schemeClr w14:val="tx1"/>
                  </w14:solidFill>
                </w14:textFill>
              </w:rPr>
              <w:t>一致</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符合招标文件《投标人须知前附表》</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12.1款要求。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335"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投标文件的签署及盖章</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w:t>
            </w:r>
            <w:r>
              <w:rPr>
                <w:rFonts w:hint="eastAsia" w:ascii="Times New Roman" w:hAnsi="Times New Roman" w:eastAsia="宋体" w:cs="Times New Roman"/>
                <w:color w:val="000000" w:themeColor="text1"/>
                <w:szCs w:val="21"/>
                <w:highlight w:val="none"/>
                <w14:textFill>
                  <w14:solidFill>
                    <w14:schemeClr w14:val="tx1"/>
                  </w14:solidFill>
                </w14:textFill>
              </w:rPr>
              <w:t>格式</w:t>
            </w:r>
            <w:r>
              <w:rPr>
                <w:rFonts w:hint="eastAsia" w:ascii="宋体" w:hAnsi="宋体" w:eastAsia="宋体" w:cs="宋体"/>
                <w:color w:val="000000" w:themeColor="text1"/>
                <w:kern w:val="0"/>
                <w:szCs w:val="21"/>
                <w:highlight w:val="none"/>
                <w14:textFill>
                  <w14:solidFill>
                    <w14:schemeClr w14:val="tx1"/>
                  </w14:solidFill>
                </w14:textFill>
              </w:rPr>
              <w:t>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335"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委托代理人</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投标人法定代表人的委托代理人有法定代表人签署的授权委托书，且其授权委托书符合招标文件规定的格式。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335"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报价唯一</w:t>
            </w:r>
          </w:p>
        </w:tc>
        <w:tc>
          <w:tcPr>
            <w:tcW w:w="53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2.1.2</w:t>
            </w:r>
          </w:p>
        </w:tc>
        <w:tc>
          <w:tcPr>
            <w:tcW w:w="1335"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资格评审标准</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营业执照</w:t>
            </w:r>
          </w:p>
        </w:tc>
        <w:tc>
          <w:tcPr>
            <w:tcW w:w="53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4141" w:type="dxa"/>
        </w:trPr>
        <w:tc>
          <w:tcPr>
            <w:tcW w:w="743"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335"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其它资格条件要求</w:t>
            </w:r>
          </w:p>
        </w:tc>
        <w:tc>
          <w:tcPr>
            <w:tcW w:w="53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符合第二章</w:t>
            </w:r>
            <w:r>
              <w:rPr>
                <w:rFonts w:ascii="Times New Roman" w:hAnsi="Times New Roman" w:eastAsia="宋体" w:cs="Times New Roman"/>
                <w:b/>
                <w:color w:val="000000" w:themeColor="text1"/>
                <w:szCs w:val="21"/>
                <w:highlight w:val="none"/>
                <w14:textFill>
                  <w14:solidFill>
                    <w14:schemeClr w14:val="tx1"/>
                  </w14:solidFill>
                </w14:textFill>
              </w:rPr>
              <w:t>投标人须知</w:t>
            </w:r>
            <w:r>
              <w:rPr>
                <w:rFonts w:hint="eastAsia" w:ascii="Times New Roman" w:hAnsi="Times New Roman" w:eastAsia="宋体" w:cs="Times New Roman"/>
                <w:b/>
                <w:color w:val="000000" w:themeColor="text1"/>
                <w:szCs w:val="21"/>
                <w:highlight w:val="none"/>
                <w14:textFill>
                  <w14:solidFill>
                    <w14:schemeClr w14:val="tx1"/>
                  </w14:solidFill>
                </w14:textFill>
              </w:rPr>
              <w:t>前附表</w:t>
            </w:r>
            <w:r>
              <w:rPr>
                <w:rFonts w:hint="eastAsia" w:ascii="Times New Roman" w:hAnsi="Times New Roman" w:eastAsia="宋体" w:cs="Times New Roman"/>
                <w:color w:val="000000" w:themeColor="text1"/>
                <w:szCs w:val="21"/>
                <w:highlight w:val="none"/>
                <w14:textFill>
                  <w14:solidFill>
                    <w14:schemeClr w14:val="tx1"/>
                  </w14:solidFill>
                </w14:textFill>
              </w:rPr>
              <w:t>2.6、2.7</w:t>
            </w:r>
            <w:r>
              <w:rPr>
                <w:rFonts w:ascii="Times New Roman" w:hAnsi="Times New Roman" w:eastAsia="宋体" w:cs="Times New Roman"/>
                <w:color w:val="000000" w:themeColor="text1"/>
                <w:szCs w:val="21"/>
                <w:highlight w:val="none"/>
                <w14:textFill>
                  <w14:solidFill>
                    <w14:schemeClr w14:val="tx1"/>
                  </w14:solidFill>
                </w14:textFill>
              </w:rPr>
              <w:t>项规定</w:t>
            </w:r>
          </w:p>
        </w:tc>
        <w:tc>
          <w:tcPr>
            <w:tcW w:w="255" w:type="dxa"/>
          </w:tcPr>
          <w:p>
            <w:pPr>
              <w:widowControl/>
              <w:jc w:val="left"/>
              <w:rPr>
                <w:rFonts w:ascii="Times New Roman" w:hAnsi="Times New Roman" w:eastAsia="宋体"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restart"/>
            <w:tcBorders>
              <w:top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2.1.3</w:t>
            </w:r>
          </w:p>
        </w:tc>
        <w:tc>
          <w:tcPr>
            <w:tcW w:w="1335" w:type="dxa"/>
            <w:vMerge w:val="restart"/>
            <w:tcBorders>
              <w:top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响应性评审</w:t>
            </w:r>
          </w:p>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标准</w:t>
            </w: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服务内容</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符合第二章</w:t>
            </w:r>
            <w:r>
              <w:rPr>
                <w:rFonts w:hint="eastAsia" w:ascii="Times New Roman" w:hAnsi="Times New Roman" w:eastAsia="新宋体" w:cs="Times New Roman"/>
                <w:b/>
                <w:color w:val="000000" w:themeColor="text1"/>
                <w:szCs w:val="24"/>
                <w:highlight w:val="none"/>
                <w14:textFill>
                  <w14:solidFill>
                    <w14:schemeClr w14:val="tx1"/>
                  </w14:solidFill>
                </w14:textFill>
              </w:rPr>
              <w:t>投标人须知前附表</w:t>
            </w:r>
            <w:r>
              <w:rPr>
                <w:rFonts w:hint="eastAsia" w:ascii="Times New Roman" w:hAnsi="Times New Roman" w:eastAsia="新宋体" w:cs="Times New Roman"/>
                <w:color w:val="000000" w:themeColor="text1"/>
                <w:szCs w:val="24"/>
                <w:highlight w:val="none"/>
                <w14:textFill>
                  <w14:solidFill>
                    <w14:schemeClr w14:val="tx1"/>
                  </w14:solidFill>
                </w14:textFill>
              </w:rPr>
              <w:t>第</w:t>
            </w:r>
            <w:r>
              <w:rPr>
                <w:rFonts w:ascii="Times New Roman" w:hAnsi="Times New Roman" w:eastAsia="新宋体" w:cs="Times New Roman"/>
                <w:color w:val="000000" w:themeColor="text1"/>
                <w:szCs w:val="24"/>
                <w:highlight w:val="none"/>
                <w14:textFill>
                  <w14:solidFill>
                    <w14:schemeClr w14:val="tx1"/>
                  </w14:solidFill>
                </w14:textFill>
              </w:rPr>
              <w:t>1.5</w:t>
            </w:r>
            <w:r>
              <w:rPr>
                <w:rFonts w:hint="eastAsia" w:ascii="Times New Roman" w:hAnsi="Times New Roman" w:eastAsia="新宋体" w:cs="Times New Roman"/>
                <w:color w:val="000000" w:themeColor="text1"/>
                <w:szCs w:val="24"/>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服务期限</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符合第二章</w:t>
            </w:r>
            <w:r>
              <w:rPr>
                <w:rFonts w:hint="eastAsia" w:ascii="Times New Roman" w:hAnsi="Times New Roman" w:eastAsia="新宋体" w:cs="Times New Roman"/>
                <w:b/>
                <w:color w:val="000000" w:themeColor="text1"/>
                <w:szCs w:val="24"/>
                <w:highlight w:val="none"/>
                <w14:textFill>
                  <w14:solidFill>
                    <w14:schemeClr w14:val="tx1"/>
                  </w14:solidFill>
                </w14:textFill>
              </w:rPr>
              <w:t>投标人须知前附表</w:t>
            </w:r>
            <w:r>
              <w:rPr>
                <w:rFonts w:hint="eastAsia" w:ascii="Times New Roman" w:hAnsi="Times New Roman" w:eastAsia="新宋体" w:cs="Times New Roman"/>
                <w:color w:val="000000" w:themeColor="text1"/>
                <w:szCs w:val="24"/>
                <w:highlight w:val="none"/>
                <w14:textFill>
                  <w14:solidFill>
                    <w14:schemeClr w14:val="tx1"/>
                  </w14:solidFill>
                </w14:textFill>
              </w:rPr>
              <w:t>第</w:t>
            </w:r>
            <w:r>
              <w:rPr>
                <w:rFonts w:ascii="Times New Roman" w:hAnsi="Times New Roman" w:eastAsia="新宋体" w:cs="Times New Roman"/>
                <w:color w:val="000000" w:themeColor="text1"/>
                <w:szCs w:val="24"/>
                <w:highlight w:val="none"/>
                <w14:textFill>
                  <w14:solidFill>
                    <w14:schemeClr w14:val="tx1"/>
                  </w14:solidFill>
                </w14:textFill>
              </w:rPr>
              <w:t>1.6</w:t>
            </w:r>
            <w:r>
              <w:rPr>
                <w:rFonts w:hint="eastAsia" w:ascii="Times New Roman" w:hAnsi="Times New Roman" w:eastAsia="新宋体" w:cs="Times New Roman"/>
                <w:color w:val="000000" w:themeColor="text1"/>
                <w:szCs w:val="24"/>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投标报价</w:t>
            </w:r>
          </w:p>
        </w:tc>
        <w:tc>
          <w:tcPr>
            <w:tcW w:w="5388" w:type="dxa"/>
            <w:tcBorders>
              <w:top w:val="single" w:color="auto" w:sz="4" w:space="0"/>
              <w:left w:val="single" w:color="auto" w:sz="4" w:space="0"/>
              <w:bottom w:val="single" w:color="auto" w:sz="4" w:space="0"/>
              <w:right w:val="single" w:color="auto" w:sz="4" w:space="0"/>
            </w:tcBorders>
            <w:vAlign w:val="center"/>
          </w:tcPr>
          <w:p>
            <w:pPr>
              <w:numPr>
                <w:ilvl w:val="0"/>
                <w:numId w:val="15"/>
              </w:num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 xml:space="preserve">本项目采购预算为260万元，投标人的投标总报价不得超过采购预算，否则为废标；   </w:t>
            </w:r>
          </w:p>
          <w:p>
            <w:pPr>
              <w:numPr>
                <w:ilvl w:val="255"/>
                <w:numId w:val="0"/>
              </w:num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（2）人月单价以绝对值报价，</w:t>
            </w:r>
            <w:r>
              <w:rPr>
                <w:rFonts w:hint="eastAsia"/>
                <w:color w:val="000000" w:themeColor="text1"/>
                <w:highlight w:val="none"/>
                <w14:textFill>
                  <w14:solidFill>
                    <w14:schemeClr w14:val="tx1"/>
                  </w14:solidFill>
                </w14:textFill>
              </w:rPr>
              <w:t>单位为万元/人月，投标人报价超过2.75万元/人月限价的，视为废标；</w:t>
            </w:r>
          </w:p>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（3）</w:t>
            </w:r>
            <w:r>
              <w:rPr>
                <w:rFonts w:hint="eastAsia" w:ascii="Times New Roman" w:hAnsi="Times New Roman" w:eastAsia="新宋体" w:cs="Times New Roman"/>
                <w:color w:val="000000" w:themeColor="text1"/>
                <w:szCs w:val="24"/>
                <w:highlight w:val="none"/>
                <w14:textFill>
                  <w14:solidFill>
                    <w14:schemeClr w14:val="tx1"/>
                  </w14:solidFill>
                </w14:textFill>
              </w:rPr>
              <w:t>年维护费</w:t>
            </w:r>
            <w:r>
              <w:rPr>
                <w:rFonts w:hint="eastAsia"/>
                <w:color w:val="000000" w:themeColor="text1"/>
                <w:highlight w:val="none"/>
                <w14:textFill>
                  <w14:solidFill>
                    <w14:schemeClr w14:val="tx1"/>
                  </w14:solidFill>
                </w14:textFill>
              </w:rPr>
              <w:t>以百分比报价，</w:t>
            </w:r>
            <w:r>
              <w:rPr>
                <w:rFonts w:hint="eastAsia" w:ascii="Times New Roman" w:hAnsi="Times New Roman" w:eastAsia="宋体" w:cs="Times New Roman"/>
                <w:color w:val="000000" w:themeColor="text1"/>
                <w:szCs w:val="21"/>
                <w:highlight w:val="none"/>
                <w14:textFill>
                  <w14:solidFill>
                    <w14:schemeClr w14:val="tx1"/>
                  </w14:solidFill>
                </w14:textFill>
              </w:rPr>
              <w:t>不得超过合同金额的10%，否则视作废标。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商务符合性</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投标有效期</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符合第二章第一节</w:t>
            </w:r>
            <w:r>
              <w:rPr>
                <w:rFonts w:hint="eastAsia" w:ascii="Times New Roman" w:hAnsi="Times New Roman" w:eastAsia="新宋体" w:cs="Times New Roman"/>
                <w:b/>
                <w:color w:val="000000" w:themeColor="text1"/>
                <w:szCs w:val="24"/>
                <w:highlight w:val="none"/>
                <w14:textFill>
                  <w14:solidFill>
                    <w14:schemeClr w14:val="tx1"/>
                  </w14:solidFill>
                </w14:textFill>
              </w:rPr>
              <w:t>投标人须知前附表</w:t>
            </w:r>
            <w:r>
              <w:rPr>
                <w:rFonts w:hint="eastAsia" w:ascii="Times New Roman" w:hAnsi="Times New Roman" w:eastAsia="新宋体" w:cs="Times New Roman"/>
                <w:color w:val="000000" w:themeColor="text1"/>
                <w:szCs w:val="24"/>
                <w:highlight w:val="none"/>
                <w14:textFill>
                  <w14:solidFill>
                    <w14:schemeClr w14:val="tx1"/>
                  </w14:solidFill>
                </w14:textFill>
              </w:rPr>
              <w:t>第</w:t>
            </w:r>
            <w:r>
              <w:rPr>
                <w:rFonts w:ascii="Times New Roman" w:hAnsi="Times New Roman" w:eastAsia="新宋体" w:cs="Times New Roman"/>
                <w:color w:val="000000" w:themeColor="text1"/>
                <w:szCs w:val="24"/>
                <w:highlight w:val="none"/>
                <w14:textFill>
                  <w14:solidFill>
                    <w14:schemeClr w14:val="tx1"/>
                  </w14:solidFill>
                </w14:textFill>
              </w:rPr>
              <w:t>13</w:t>
            </w:r>
            <w:r>
              <w:rPr>
                <w:rFonts w:hint="eastAsia" w:ascii="Times New Roman" w:hAnsi="Times New Roman" w:eastAsia="新宋体" w:cs="Times New Roman"/>
                <w:color w:val="000000" w:themeColor="text1"/>
                <w:szCs w:val="24"/>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vMerge w:val="continue"/>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实质性要求</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符合招标文件规定的其他实质性要求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852" w:hRule="atLeast"/>
        </w:trPr>
        <w:tc>
          <w:tcPr>
            <w:tcW w:w="743" w:type="dxa"/>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2.2.1</w:t>
            </w:r>
          </w:p>
        </w:tc>
        <w:tc>
          <w:tcPr>
            <w:tcW w:w="1335" w:type="dxa"/>
            <w:tcBorders>
              <w:bottom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highlight w:val="none"/>
                <w14:textFill>
                  <w14:solidFill>
                    <w14:schemeClr w14:val="tx1"/>
                  </w14:solidFill>
                </w14:textFill>
              </w:rPr>
            </w:pPr>
            <w:r>
              <w:rPr>
                <w:rFonts w:ascii="Arial" w:hAnsi="Arial" w:eastAsia="宋体" w:cs="Arial"/>
                <w:color w:val="000000" w:themeColor="text1"/>
                <w:highlight w:val="none"/>
                <w14:textFill>
                  <w14:solidFill>
                    <w14:schemeClr w14:val="tx1"/>
                  </w14:solidFill>
                </w14:textFill>
              </w:rPr>
              <w:t>分值构成</w:t>
            </w:r>
            <w:r>
              <w:rPr>
                <w:rFonts w:hint="eastAsia" w:ascii="Arial" w:hAnsi="Arial" w:eastAsia="宋体" w:cs="Arial"/>
                <w:color w:val="000000" w:themeColor="text1"/>
                <w:highlight w:val="none"/>
                <w14:textFill>
                  <w14:solidFill>
                    <w14:schemeClr w14:val="tx1"/>
                  </w14:solidFill>
                </w14:textFill>
              </w:rPr>
              <w:t>(100分)</w:t>
            </w:r>
          </w:p>
        </w:tc>
        <w:tc>
          <w:tcPr>
            <w:tcW w:w="770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报价部分50分</w:t>
            </w:r>
          </w:p>
          <w:p>
            <w:pPr>
              <w:spacing w:line="440" w:lineRule="exact"/>
              <w:jc w:val="left"/>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商务部分30分</w:t>
            </w:r>
          </w:p>
          <w:p>
            <w:pPr>
              <w:spacing w:line="440" w:lineRule="exact"/>
              <w:jc w:val="left"/>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技术部分20分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570" w:hRule="atLeast"/>
        </w:trPr>
        <w:tc>
          <w:tcPr>
            <w:tcW w:w="743" w:type="dxa"/>
            <w:vMerge w:val="restart"/>
            <w:tcBorders>
              <w:right w:val="single" w:color="auto" w:sz="4" w:space="0"/>
            </w:tcBorders>
            <w:vAlign w:val="center"/>
          </w:tcPr>
          <w:p>
            <w:pPr>
              <w:rPr>
                <w:rFonts w:ascii="Times New Roman" w:hAnsi="Times New Roman" w:eastAsia="新宋体" w:cs="Times New Roman"/>
                <w:b/>
                <w:color w:val="000000" w:themeColor="text1"/>
                <w:szCs w:val="24"/>
                <w:highlight w:val="none"/>
                <w14:textFill>
                  <w14:solidFill>
                    <w14:schemeClr w14:val="tx1"/>
                  </w14:solidFill>
                </w14:textFill>
              </w:rPr>
            </w:pPr>
            <w:r>
              <w:rPr>
                <w:rFonts w:ascii="Times New Roman" w:hAnsi="Times New Roman" w:eastAsia="新宋体" w:cs="Times New Roman"/>
                <w:color w:val="000000" w:themeColor="text1"/>
                <w:szCs w:val="24"/>
                <w:highlight w:val="none"/>
                <w14:textFill>
                  <w14:solidFill>
                    <w14:schemeClr w14:val="tx1"/>
                  </w14:solidFill>
                </w14:textFill>
              </w:rPr>
              <w:t>2.2.2</w:t>
            </w:r>
          </w:p>
        </w:tc>
        <w:tc>
          <w:tcPr>
            <w:tcW w:w="1335" w:type="dxa"/>
            <w:vMerge w:val="restart"/>
            <w:tcBorders>
              <w:right w:val="single" w:color="auto" w:sz="4" w:space="0"/>
            </w:tcBorders>
            <w:vAlign w:val="center"/>
          </w:tcPr>
          <w:p>
            <w:pPr>
              <w:jc w:val="center"/>
              <w:rPr>
                <w:rFonts w:ascii="Times New Roman" w:hAnsi="Times New Roman" w:eastAsia="新宋体" w:cs="Times New Roman"/>
                <w:b/>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评分标准</w:t>
            </w:r>
          </w:p>
        </w:tc>
        <w:tc>
          <w:tcPr>
            <w:tcW w:w="7704" w:type="dxa"/>
            <w:gridSpan w:val="2"/>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b/>
                <w:color w:val="000000" w:themeColor="text1"/>
                <w:szCs w:val="24"/>
                <w:highlight w:val="none"/>
                <w14:textFill>
                  <w14:solidFill>
                    <w14:schemeClr w14:val="tx1"/>
                  </w14:solidFill>
                </w14:textFill>
              </w:rPr>
              <w:t>报价部分（50分）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0" w:hRule="atLeast"/>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投标总报价</w:t>
            </w:r>
            <w:r>
              <w:rPr>
                <w:rFonts w:hint="eastAsia" w:ascii="Times New Roman" w:hAnsi="Times New Roman" w:eastAsia="新宋体" w:cs="Times New Roman"/>
                <w:color w:val="000000" w:themeColor="text1"/>
                <w:szCs w:val="24"/>
                <w:highlight w:val="none"/>
                <w14:textFill>
                  <w14:solidFill>
                    <w14:schemeClr w14:val="tx1"/>
                  </w14:solidFill>
                </w14:textFill>
              </w:rPr>
              <w:br w:type="textWrapping"/>
            </w:r>
            <w:r>
              <w:rPr>
                <w:rFonts w:hint="eastAsia" w:ascii="Times New Roman" w:hAnsi="Times New Roman" w:eastAsia="新宋体" w:cs="Times New Roman"/>
                <w:color w:val="000000" w:themeColor="text1"/>
                <w:szCs w:val="24"/>
                <w:highlight w:val="none"/>
                <w14:textFill>
                  <w14:solidFill>
                    <w14:schemeClr w14:val="tx1"/>
                  </w14:solidFill>
                </w14:textFill>
              </w:rPr>
              <w:t>（40分）</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初步审查合格投标人的投标总报价的算术平均值作为评标基准价。有效投标总报价等于评标基准价的得满分40分，其余有效投标总报价与评标基准价相比，每高1%扣1分，每低1%扣0.5分。</w:t>
            </w:r>
          </w:p>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以上得分保留小数点后两位，第三位四舍五入，按插入法计算。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0"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后续驻场开发人月单价（5分）</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初步审查合格投标人的人月单价报价的算术平均值作为评标基准价，有效投标报价等于评标基准价的得满分5分，其余有效报价与评标基准价相比，每高1%扣0.3分，每低1%扣0.2分，扣完为止。</w:t>
            </w:r>
          </w:p>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以上计算保留小数点后两位，第三位四舍五入，按插入法计算。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0"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一年的免费维保期后五年内（含五年）的年运营维护费报价（5分）</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初步审查合格投标人的年维护费报价算术平均值作为评标基准价，有效投标报价等于评标基准价的得满分5分，其余有效报价与评标基准价相比，每高1%扣0.3分，每低1%扣0.2分，扣完为止。</w:t>
            </w:r>
          </w:p>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以上计算保留小数点后两位，第三位四舍五入，按插入法计算。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14:textFill>
                  <w14:solidFill>
                    <w14:schemeClr w14:val="tx1"/>
                  </w14:solidFill>
                </w14:textFill>
              </w:rPr>
            </w:pPr>
          </w:p>
        </w:tc>
        <w:tc>
          <w:tcPr>
            <w:tcW w:w="7704" w:type="dxa"/>
            <w:gridSpan w:val="2"/>
            <w:tcBorders>
              <w:left w:val="single" w:color="auto" w:sz="4" w:space="0"/>
              <w:bottom w:val="single" w:color="auto" w:sz="4" w:space="0"/>
              <w:right w:val="single" w:color="auto" w:sz="4" w:space="0"/>
            </w:tcBorders>
            <w:vAlign w:val="center"/>
          </w:tcPr>
          <w:p>
            <w:pPr>
              <w:ind w:firstLine="420" w:firstLineChars="200"/>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注：</w:t>
            </w:r>
            <w:r>
              <w:rPr>
                <w:rFonts w:hint="eastAsia" w:ascii="宋体" w:hAnsi="宋体" w:eastAsia="宋体" w:cs="Times New Roman"/>
                <w:color w:val="000000" w:themeColor="text1"/>
                <w:szCs w:val="24"/>
                <w:highlight w:val="none"/>
                <w14:textFill>
                  <w14:solidFill>
                    <w14:schemeClr w14:val="tx1"/>
                  </w14:solidFill>
                </w14:textFill>
              </w:rPr>
              <w:t>评标委员会认为投标人的报价明显低于其他通过符合性审查投标人的报价，有可能影响产品质量或者不能诚信履约的，有权要求该投标人在评标现场合理时间内提供书面说明，必要时提交相关证明材料。投标人拒绝书面说明或不能证明其报价合理性的，评标委员会有权将其作为无效投标处理，其报价不能参与评分。</w:t>
            </w:r>
          </w:p>
        </w:tc>
        <w:tc>
          <w:tcPr>
            <w:tcW w:w="4396" w:type="dxa"/>
            <w:gridSpan w:val="2"/>
            <w:vAlign w:val="center"/>
          </w:tcPr>
          <w:p>
            <w:pPr>
              <w:widowControl/>
              <w:jc w:val="left"/>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14:textFill>
                  <w14:solidFill>
                    <w14:schemeClr w14:val="tx1"/>
                  </w14:solidFill>
                </w14:textFill>
              </w:rPr>
            </w:pPr>
          </w:p>
        </w:tc>
        <w:tc>
          <w:tcPr>
            <w:tcW w:w="7704" w:type="dxa"/>
            <w:gridSpan w:val="2"/>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商务部分（30分）：商务部分评委打分保留至小数点后一位，投标人商务部分最终得分取所有评委的算术平均值。算术平均值得分保留至小数点后两位，第三位四舍五入。</w:t>
            </w:r>
          </w:p>
        </w:tc>
        <w:tc>
          <w:tcPr>
            <w:tcW w:w="4396" w:type="dxa"/>
            <w:gridSpan w:val="2"/>
            <w:vAlign w:val="center"/>
          </w:tcPr>
          <w:p>
            <w:pPr>
              <w:widowControl/>
              <w:jc w:val="left"/>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14:textFill>
                  <w14:solidFill>
                    <w14:schemeClr w14:val="tx1"/>
                  </w14:solidFill>
                </w14:textFill>
              </w:rPr>
            </w:pPr>
          </w:p>
        </w:tc>
        <w:tc>
          <w:tcPr>
            <w:tcW w:w="2316" w:type="dxa"/>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成功案例（25）</w:t>
            </w:r>
          </w:p>
        </w:tc>
        <w:tc>
          <w:tcPr>
            <w:tcW w:w="5388" w:type="dxa"/>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1、2016年1月1日至本招标文件发布日期间，投标人有国内银行总行级机构的银行业监管报表报送平台系统实施经验的，每个案例按计分规则进行累加得分（资格要求业绩的案例不纳入本项加分评审）。案例计分规则如下：</w:t>
            </w:r>
          </w:p>
          <w:tbl>
            <w:tblPr>
              <w:tblStyle w:val="58"/>
              <w:tblW w:w="4681" w:type="dxa"/>
              <w:tblInd w:w="0" w:type="dxa"/>
              <w:tblLayout w:type="fixed"/>
              <w:tblCellMar>
                <w:top w:w="0" w:type="dxa"/>
                <w:left w:w="108" w:type="dxa"/>
                <w:bottom w:w="0" w:type="dxa"/>
                <w:right w:w="108" w:type="dxa"/>
              </w:tblCellMar>
            </w:tblPr>
            <w:tblGrid>
              <w:gridCol w:w="2696"/>
              <w:gridCol w:w="1985"/>
            </w:tblGrid>
            <w:tr>
              <w:tblPrEx>
                <w:tblLayout w:type="fixed"/>
                <w:tblCellMar>
                  <w:top w:w="0" w:type="dxa"/>
                  <w:left w:w="108" w:type="dxa"/>
                  <w:bottom w:w="0" w:type="dxa"/>
                  <w:right w:w="108" w:type="dxa"/>
                </w:tblCellMar>
              </w:tblPrEx>
              <w:trPr>
                <w:trHeight w:val="420" w:hRule="atLeast"/>
              </w:trPr>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银行类型</w:t>
                  </w:r>
                </w:p>
              </w:tc>
              <w:tc>
                <w:tcPr>
                  <w:tcW w:w="198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系统案例得分</w:t>
                  </w:r>
                </w:p>
              </w:tc>
            </w:tr>
            <w:tr>
              <w:tblPrEx>
                <w:tblLayout w:type="fixed"/>
                <w:tblCellMar>
                  <w:top w:w="0" w:type="dxa"/>
                  <w:left w:w="108" w:type="dxa"/>
                  <w:bottom w:w="0" w:type="dxa"/>
                  <w:right w:w="108" w:type="dxa"/>
                </w:tblCellMar>
              </w:tblPrEx>
              <w:trPr>
                <w:trHeight w:val="415" w:hRule="atLeast"/>
              </w:trPr>
              <w:tc>
                <w:tcPr>
                  <w:tcW w:w="2696"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一类银行</w:t>
                  </w:r>
                </w:p>
              </w:tc>
              <w:tc>
                <w:tcPr>
                  <w:tcW w:w="198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10分/个</w:t>
                  </w:r>
                </w:p>
              </w:tc>
            </w:tr>
            <w:tr>
              <w:tblPrEx>
                <w:tblLayout w:type="fixed"/>
                <w:tblCellMar>
                  <w:top w:w="0" w:type="dxa"/>
                  <w:left w:w="108" w:type="dxa"/>
                  <w:bottom w:w="0" w:type="dxa"/>
                  <w:right w:w="108" w:type="dxa"/>
                </w:tblCellMar>
              </w:tblPrEx>
              <w:trPr>
                <w:trHeight w:val="265" w:hRule="atLeast"/>
              </w:trPr>
              <w:tc>
                <w:tcPr>
                  <w:tcW w:w="2696"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二类银行</w:t>
                  </w:r>
                </w:p>
              </w:tc>
              <w:tc>
                <w:tcPr>
                  <w:tcW w:w="198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8分/个</w:t>
                  </w:r>
                </w:p>
              </w:tc>
            </w:tr>
            <w:tr>
              <w:tblPrEx>
                <w:tblLayout w:type="fixed"/>
                <w:tblCellMar>
                  <w:top w:w="0" w:type="dxa"/>
                  <w:left w:w="108" w:type="dxa"/>
                  <w:bottom w:w="0" w:type="dxa"/>
                  <w:right w:w="108" w:type="dxa"/>
                </w:tblCellMar>
              </w:tblPrEx>
              <w:trPr>
                <w:trHeight w:val="227" w:hRule="atLeast"/>
              </w:trPr>
              <w:tc>
                <w:tcPr>
                  <w:tcW w:w="2696"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三类银行</w:t>
                  </w:r>
                </w:p>
              </w:tc>
              <w:tc>
                <w:tcPr>
                  <w:tcW w:w="198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5分/个</w:t>
                  </w:r>
                </w:p>
              </w:tc>
            </w:tr>
          </w:tbl>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注：所有案例根据银行类型附表（见附件）列示，对照上表进行评分；未在附表中明确列示名称的银行（统一划为：其他银行）案例，得分2分/个。</w:t>
            </w:r>
          </w:p>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单个案例合同内容至少包含以下模块中的任意三个：人行大集中报表、银监非现场监管报表、利率报备、金融标准化、银监区域特色报表、EAST。</w:t>
            </w:r>
          </w:p>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证明材料要求：1）案例合同复印件加盖投标人公章，原件备查；2）合同复印件须包含合同首页、甲乙双方盖章页及包含业务范围描述的服务或产品内容页（如无法提供服务或产品内容页，或提供的服务或产品内容页无法直接证明其符合本条案例要求，投标人还须提供相关证明材料且该证明材料须经评标委员会认定其实质性工作内容符合本条案例要求）；3）案例时间以合同签订时间为准。</w:t>
            </w:r>
          </w:p>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2、如提供上述有效案例的同时，还能够提供相关系统实施项目的所使用银行加盖公章的系统上线运行的积极正面证明材料（如：该银行官方宣传报道等），则该案例再加2分。</w:t>
            </w:r>
          </w:p>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3、</w:t>
            </w:r>
            <w:r>
              <w:rPr>
                <w:rFonts w:hint="eastAsia"/>
                <w:color w:val="000000" w:themeColor="text1"/>
                <w:highlight w:val="none"/>
                <w14:textFill>
                  <w14:solidFill>
                    <w14:schemeClr w14:val="tx1"/>
                  </w14:solidFill>
                </w14:textFill>
              </w:rPr>
              <w:t>该项累计最多得25分。特别说明：如投标人提供的评分案例既没有一类银行也没有二类银行，仅有三类银行或其他银行的，本项累计最多得20分。</w:t>
            </w:r>
            <w:r>
              <w:rPr>
                <w:rFonts w:hint="eastAsia" w:ascii="Times New Roman" w:hAnsi="Times New Roman" w:eastAsia="新宋体" w:cs="Times New Roman"/>
                <w:color w:val="000000" w:themeColor="text1"/>
                <w:szCs w:val="24"/>
                <w:highlight w:val="none"/>
                <w14:textFill>
                  <w14:solidFill>
                    <w14:schemeClr w14:val="tx1"/>
                  </w14:solidFill>
                </w14:textFill>
              </w:rPr>
              <w:t>投标人按招标文件要求如实填列投标人业绩表（见附件）。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63"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vMerge w:val="restart"/>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项目人员配置（5分）</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投标人按招标文件要求如实填列项目团队成员表（见附件）及项目团队成员个人简历表（见附件），根据投标人为本项目配置的项目团队成员（包括但不限于项目负责人、项目经理、技术经理、技术专家、技术人员）的资历和类似项目经验的丰富程度、情况进行综合横向评审比较。最优的得5分，其余的酌情扣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14:textFill>
                  <w14:solidFill>
                    <w14:schemeClr w14:val="tx1"/>
                  </w14:solidFill>
                </w14:textFill>
              </w:rPr>
            </w:pPr>
          </w:p>
        </w:tc>
        <w:tc>
          <w:tcPr>
            <w:tcW w:w="7704" w:type="dxa"/>
            <w:gridSpan w:val="2"/>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技术部分（20分）：技术部分评委打分保留至小数点后一位，投标人技术部分最终得分取所有评委的算术平均值。算术平均值得分保留至小数点后两位，第三位“四舍五入”。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14:textFill>
                  <w14:solidFill>
                    <w14:schemeClr w14:val="tx1"/>
                  </w14:solidFill>
                </w14:textFill>
              </w:rPr>
            </w:pPr>
          </w:p>
        </w:tc>
        <w:tc>
          <w:tcPr>
            <w:tcW w:w="2316" w:type="dxa"/>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服务方案（10分）</w:t>
            </w:r>
          </w:p>
        </w:tc>
        <w:tc>
          <w:tcPr>
            <w:tcW w:w="5388" w:type="dxa"/>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评标委员会将对服务方案的完整性、针对性、合理性及可行性等方面进行综合评价。优秀的得8-10分，良好的得5-7分，一般的得1-4分。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14:textFill>
                  <w14:solidFill>
                    <w14:schemeClr w14:val="tx1"/>
                  </w14:solidFill>
                </w14:textFill>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14:textFill>
                  <w14:solidFill>
                    <w14:schemeClr w14:val="tx1"/>
                  </w14:solidFill>
                </w14:textFill>
              </w:rPr>
            </w:pPr>
          </w:p>
        </w:tc>
        <w:tc>
          <w:tcPr>
            <w:tcW w:w="2316" w:type="dxa"/>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数据集市建设经验（10分）</w:t>
            </w:r>
          </w:p>
        </w:tc>
        <w:tc>
          <w:tcPr>
            <w:tcW w:w="5388" w:type="dxa"/>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投标人在国内银行总行级机构成功实施了监管报送平台系统的数据集市。根据投标人提供的材料，按下列两项标准中得分高的一项统计得分。</w:t>
            </w:r>
          </w:p>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a、在一家银行的案例中，实施了数据集市已经投产使用，数据模型整合了人行大集中报表、金融标准化、银监银监会EAST、非现场监管报表四个监管报送主题中至少任意三个，且案例是在银行类型附表中未明确列名的银行（即：其他银行）。该类案例有一个得4分，最多得4分。</w:t>
            </w:r>
          </w:p>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b、在一家银行的案例中，实施了数据集市已经投产使用，数据模型整合了人行大集中报表、金融标准化、银监银监会EAST、非现场监管报表四个监管报送主题中至少任意三个，且案例是在银行类型附表明确列名的银行。该类案例有一个得7分，两个以上(含两个)得10分。</w:t>
            </w:r>
          </w:p>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证明材料要求：1) 提供案例项目所使用的银行加盖的公章的证明材料，内容必须包含：a、证明投标人在该银行通过案例项目已实施整合了人行大集中报表、金融标准化、银监银监会EAST、非现场监管报表四个监管主题中至少三个的数据集市，b、证明该案例项目已上线且至2019年1月仍然进行生产报送；2）提供案例合同复印件（2016年1月1日后签订的对案例项目进行建设或升级改造的外包服务合同），加盖投标人公章，原件备查；3）合同复印件须包含合同首页、甲乙双方盖章页及包含业务范围描述的服务或产品内容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786" w:hRule="atLeast"/>
        </w:trPr>
        <w:tc>
          <w:tcPr>
            <w:tcW w:w="2078" w:type="dxa"/>
            <w:gridSpan w:val="2"/>
            <w:tcBorders>
              <w:top w:val="single" w:color="auto" w:sz="4" w:space="0"/>
              <w:bottom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highlight w:val="none"/>
                <w14:textFill>
                  <w14:solidFill>
                    <w14:schemeClr w14:val="tx1"/>
                  </w14:solidFill>
                </w14:textFill>
              </w:rPr>
            </w:pPr>
            <w:r>
              <w:rPr>
                <w:rFonts w:hint="eastAsia" w:ascii="Arial" w:hAnsi="Arial" w:eastAsia="宋体" w:cs="Arial"/>
                <w:color w:val="000000" w:themeColor="text1"/>
                <w:highlight w:val="none"/>
                <w14:textFill>
                  <w14:solidFill>
                    <w14:schemeClr w14:val="tx1"/>
                  </w14:solidFill>
                </w14:textFill>
              </w:rPr>
              <w:t>评标程序</w:t>
            </w:r>
          </w:p>
        </w:tc>
        <w:tc>
          <w:tcPr>
            <w:tcW w:w="7704"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评标委员会首先按照本附表2.1.1～2.1.3对投标人进行初步审查，再对初步审查合格的投标人，按照本附表2.2.2规定的标准和分值进行详细评审。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786" w:hRule="atLeast"/>
        </w:trPr>
        <w:tc>
          <w:tcPr>
            <w:tcW w:w="2078" w:type="dxa"/>
            <w:gridSpan w:val="2"/>
            <w:tcBorders>
              <w:top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highlight w:val="none"/>
                <w14:textFill>
                  <w14:solidFill>
                    <w14:schemeClr w14:val="tx1"/>
                  </w14:solidFill>
                </w14:textFill>
              </w:rPr>
            </w:pPr>
            <w:r>
              <w:rPr>
                <w:rFonts w:hint="eastAsia" w:ascii="Arial" w:hAnsi="Arial" w:eastAsia="宋体" w:cs="Arial"/>
                <w:color w:val="000000" w:themeColor="text1"/>
                <w:highlight w:val="none"/>
                <w14:textFill>
                  <w14:solidFill>
                    <w14:schemeClr w14:val="tx1"/>
                  </w14:solidFill>
                </w14:textFill>
              </w:rPr>
              <w:t>复核</w:t>
            </w:r>
          </w:p>
        </w:tc>
        <w:tc>
          <w:tcPr>
            <w:tcW w:w="7704" w:type="dxa"/>
            <w:gridSpan w:val="2"/>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招标人有权取消虚假应标的投标人的中标资格并没收投标保证金，如采用虚假成功案例投标等。</w:t>
            </w:r>
          </w:p>
        </w:tc>
      </w:tr>
    </w:tbl>
    <w:p>
      <w:pPr>
        <w:widowControl/>
        <w:spacing w:line="300" w:lineRule="auto"/>
        <w:jc w:val="center"/>
        <w:outlineLvl w:val="1"/>
        <w:rPr>
          <w:rFonts w:ascii="Times New Roman" w:hAnsi="Times New Roman" w:eastAsia="新宋体" w:cs="Times New Roman"/>
          <w:b/>
          <w:color w:val="000000" w:themeColor="text1"/>
          <w:sz w:val="28"/>
          <w:szCs w:val="28"/>
          <w:highlight w:val="none"/>
          <w14:textFill>
            <w14:solidFill>
              <w14:schemeClr w14:val="tx1"/>
            </w14:solidFill>
          </w14:textFill>
        </w:rPr>
      </w:pPr>
      <w:r>
        <w:rPr>
          <w:rFonts w:ascii="Times New Roman" w:hAnsi="Times New Roman" w:eastAsia="新宋体" w:cs="Times New Roman"/>
          <w:b/>
          <w:color w:val="000000" w:themeColor="text1"/>
          <w:sz w:val="28"/>
          <w:szCs w:val="28"/>
          <w:highlight w:val="none"/>
          <w14:textFill>
            <w14:solidFill>
              <w14:schemeClr w14:val="tx1"/>
            </w14:solidFill>
          </w14:textFill>
        </w:rPr>
        <w:br w:type="page"/>
      </w:r>
    </w:p>
    <w:p>
      <w:pPr>
        <w:widowControl/>
        <w:spacing w:line="300" w:lineRule="auto"/>
        <w:jc w:val="center"/>
        <w:outlineLvl w:val="1"/>
        <w:rPr>
          <w:rFonts w:ascii="Times New Roman" w:hAnsi="Times New Roman" w:eastAsia="新宋体" w:cs="Times New Roman"/>
          <w:b/>
          <w:color w:val="000000" w:themeColor="text1"/>
          <w:sz w:val="28"/>
          <w:szCs w:val="28"/>
          <w:highlight w:val="none"/>
          <w14:textFill>
            <w14:solidFill>
              <w14:schemeClr w14:val="tx1"/>
            </w14:solidFill>
          </w14:textFill>
        </w:rPr>
      </w:pPr>
    </w:p>
    <w:p>
      <w:pPr>
        <w:widowControl/>
        <w:spacing w:line="300" w:lineRule="auto"/>
        <w:outlineLvl w:val="1"/>
        <w:rPr>
          <w:rFonts w:ascii="Times New Roman" w:hAnsi="Times New Roman" w:eastAsia="新宋体" w:cs="Times New Roman"/>
          <w:b/>
          <w:color w:val="000000" w:themeColor="text1"/>
          <w:sz w:val="28"/>
          <w:szCs w:val="28"/>
          <w:highlight w:val="none"/>
          <w14:textFill>
            <w14:solidFill>
              <w14:schemeClr w14:val="tx1"/>
            </w14:solidFill>
          </w14:textFill>
        </w:rPr>
      </w:pPr>
    </w:p>
    <w:p>
      <w:pPr>
        <w:widowControl/>
        <w:spacing w:line="300" w:lineRule="auto"/>
        <w:jc w:val="center"/>
        <w:outlineLvl w:val="1"/>
        <w:rPr>
          <w:rFonts w:ascii="Times New Roman" w:hAnsi="Times New Roman" w:eastAsia="新宋体" w:cs="Times New Roman"/>
          <w:b/>
          <w:color w:val="000000" w:themeColor="text1"/>
          <w:sz w:val="28"/>
          <w:szCs w:val="28"/>
          <w:highlight w:val="none"/>
          <w14:textFill>
            <w14:solidFill>
              <w14:schemeClr w14:val="tx1"/>
            </w14:solidFill>
          </w14:textFill>
        </w:rPr>
      </w:pPr>
      <w:r>
        <w:rPr>
          <w:rFonts w:hint="eastAsia" w:ascii="Times New Roman" w:hAnsi="Times New Roman" w:eastAsia="新宋体" w:cs="Times New Roman"/>
          <w:b/>
          <w:color w:val="000000" w:themeColor="text1"/>
          <w:sz w:val="28"/>
          <w:szCs w:val="28"/>
          <w:highlight w:val="none"/>
          <w14:textFill>
            <w14:solidFill>
              <w14:schemeClr w14:val="tx1"/>
            </w14:solidFill>
          </w14:textFill>
        </w:rPr>
        <w:t>第二节</w:t>
      </w:r>
      <w:r>
        <w:rPr>
          <w:rFonts w:ascii="Times New Roman" w:hAnsi="Times New Roman" w:eastAsia="新宋体" w:cs="Times New Roman"/>
          <w:b/>
          <w:color w:val="000000" w:themeColor="text1"/>
          <w:sz w:val="28"/>
          <w:szCs w:val="28"/>
          <w:highlight w:val="none"/>
          <w14:textFill>
            <w14:solidFill>
              <w14:schemeClr w14:val="tx1"/>
            </w14:solidFill>
          </w14:textFill>
        </w:rPr>
        <w:t>　评标方法</w:t>
      </w:r>
      <w:bookmarkEnd w:id="116"/>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p>
    <w:p>
      <w:pPr>
        <w:widowControl/>
        <w:spacing w:line="300" w:lineRule="auto"/>
        <w:ind w:firstLine="482" w:firstLineChars="200"/>
        <w:outlineLvl w:val="2"/>
        <w:rPr>
          <w:rFonts w:ascii="Times New Roman" w:hAnsi="Times New Roman" w:eastAsia="新宋体" w:cs="Times New Roman"/>
          <w:b/>
          <w:color w:val="000000" w:themeColor="text1"/>
          <w:sz w:val="24"/>
          <w:szCs w:val="24"/>
          <w:highlight w:val="none"/>
          <w14:textFill>
            <w14:solidFill>
              <w14:schemeClr w14:val="tx1"/>
            </w14:solidFill>
          </w14:textFill>
        </w:rPr>
      </w:pPr>
      <w:bookmarkStart w:id="119" w:name="_Toc450645165"/>
      <w:r>
        <w:rPr>
          <w:rFonts w:hint="eastAsia" w:ascii="Times New Roman" w:hAnsi="Times New Roman" w:eastAsia="新宋体" w:cs="Times New Roman"/>
          <w:b/>
          <w:color w:val="000000" w:themeColor="text1"/>
          <w:sz w:val="24"/>
          <w:szCs w:val="24"/>
          <w:highlight w:val="none"/>
          <w14:textFill>
            <w14:solidFill>
              <w14:schemeClr w14:val="tx1"/>
            </w14:solidFill>
          </w14:textFill>
        </w:rPr>
        <w:t>1．评标方法。</w:t>
      </w:r>
      <w:bookmarkEnd w:id="119"/>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评标委员会对满足招标文件实质性要求的投标文件，按照本章第2.2款规定的评分标准进行打分，并按各投标人总得分由高到低顺序推荐中标候选人，或根据招标人授权直接确定中标人，但投标报价低于其成本的除外。综合评分相等时，以投标总报价低的优先；投标总报价也相等时，以技术部分评分高的优先；技术部分评分也相同时，以商务部分评分高的优先；商务部分评分也相等时，由评标委员会投票表决确定中标候选人排位顺序。</w:t>
      </w:r>
      <w:r>
        <w:rPr>
          <w:rFonts w:ascii="Times New Roman" w:hAnsi="Times New Roman" w:eastAsia="新宋体" w:cs="Times New Roman"/>
          <w:color w:val="000000" w:themeColor="text1"/>
          <w:sz w:val="24"/>
          <w:szCs w:val="24"/>
          <w:highlight w:val="none"/>
          <w14:textFill>
            <w14:solidFill>
              <w14:schemeClr w14:val="tx1"/>
            </w14:solidFill>
          </w14:textFill>
        </w:rPr>
        <w:t>招标人不得在中标候选人之外确定中标人。</w:t>
      </w:r>
    </w:p>
    <w:p>
      <w:pPr>
        <w:widowControl/>
        <w:spacing w:line="300" w:lineRule="auto"/>
        <w:ind w:firstLine="482" w:firstLineChars="200"/>
        <w:outlineLvl w:val="2"/>
        <w:rPr>
          <w:rFonts w:ascii="Times New Roman" w:hAnsi="Times New Roman" w:eastAsia="新宋体" w:cs="Times New Roman"/>
          <w:b/>
          <w:color w:val="000000" w:themeColor="text1"/>
          <w:sz w:val="24"/>
          <w:szCs w:val="24"/>
          <w:highlight w:val="none"/>
          <w14:textFill>
            <w14:solidFill>
              <w14:schemeClr w14:val="tx1"/>
            </w14:solidFill>
          </w14:textFill>
        </w:rPr>
      </w:pPr>
      <w:bookmarkStart w:id="120" w:name="_Toc419964545"/>
      <w:bookmarkStart w:id="121" w:name="_Toc450645166"/>
      <w:r>
        <w:rPr>
          <w:rFonts w:hint="eastAsia" w:ascii="Times New Roman" w:hAnsi="Times New Roman" w:eastAsia="新宋体" w:cs="Times New Roman"/>
          <w:b/>
          <w:color w:val="000000" w:themeColor="text1"/>
          <w:sz w:val="24"/>
          <w:szCs w:val="24"/>
          <w:highlight w:val="none"/>
          <w14:textFill>
            <w14:solidFill>
              <w14:schemeClr w14:val="tx1"/>
            </w14:solidFill>
          </w14:textFill>
        </w:rPr>
        <w:t>2. 评审标准</w:t>
      </w:r>
      <w:bookmarkEnd w:id="120"/>
      <w:bookmarkEnd w:id="121"/>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bookmarkStart w:id="122" w:name="_Toc419964546"/>
      <w:r>
        <w:rPr>
          <w:rFonts w:hint="eastAsia" w:ascii="Times New Roman" w:hAnsi="Times New Roman" w:eastAsia="新宋体" w:cs="Times New Roman"/>
          <w:color w:val="000000" w:themeColor="text1"/>
          <w:sz w:val="24"/>
          <w:szCs w:val="24"/>
          <w:highlight w:val="none"/>
          <w14:textFill>
            <w14:solidFill>
              <w14:schemeClr w14:val="tx1"/>
            </w14:solidFill>
          </w14:textFill>
        </w:rPr>
        <w:t>2.1 初步评审标准</w:t>
      </w:r>
      <w:bookmarkEnd w:id="122"/>
    </w:p>
    <w:p>
      <w:pPr>
        <w:widowControl/>
        <w:spacing w:line="300" w:lineRule="auto"/>
        <w:ind w:firstLine="480" w:firstLineChars="200"/>
        <w:rPr>
          <w:rFonts w:ascii="Times New Roman" w:hAnsi="Times New Roman" w:eastAsia="新宋体" w:cs="Times New Roman"/>
          <w:b/>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2.1.1形式评审标准：见</w:t>
      </w:r>
      <w:r>
        <w:rPr>
          <w:rFonts w:hint="eastAsia" w:ascii="Times New Roman" w:hAnsi="Times New Roman" w:eastAsia="新宋体" w:cs="Times New Roman"/>
          <w:b/>
          <w:color w:val="000000" w:themeColor="text1"/>
          <w:sz w:val="24"/>
          <w:szCs w:val="24"/>
          <w:highlight w:val="none"/>
          <w14:textFill>
            <w14:solidFill>
              <w14:schemeClr w14:val="tx1"/>
            </w14:solidFill>
          </w14:textFill>
        </w:rPr>
        <w:t>评标方法前附表。</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2.1.2资格评审标准：见</w:t>
      </w:r>
      <w:r>
        <w:rPr>
          <w:rFonts w:hint="eastAsia" w:ascii="Times New Roman" w:hAnsi="Times New Roman" w:eastAsia="新宋体" w:cs="Times New Roman"/>
          <w:b/>
          <w:color w:val="000000" w:themeColor="text1"/>
          <w:sz w:val="24"/>
          <w:szCs w:val="24"/>
          <w:highlight w:val="none"/>
          <w14:textFill>
            <w14:solidFill>
              <w14:schemeClr w14:val="tx1"/>
            </w14:solidFill>
          </w14:textFill>
        </w:rPr>
        <w:t>评标方法前附表</w:t>
      </w:r>
      <w:r>
        <w:rPr>
          <w:rFonts w:hint="eastAsia" w:ascii="Times New Roman" w:hAnsi="Times New Roman" w:eastAsia="新宋体" w:cs="Times New Roman"/>
          <w:color w:val="000000" w:themeColor="text1"/>
          <w:sz w:val="24"/>
          <w:szCs w:val="24"/>
          <w:highlight w:val="none"/>
          <w14:textFill>
            <w14:solidFill>
              <w14:schemeClr w14:val="tx1"/>
            </w14:solidFill>
          </w14:textFill>
        </w:rPr>
        <w:t>。</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2.1.3 响应性评审标准：见</w:t>
      </w:r>
      <w:r>
        <w:rPr>
          <w:rFonts w:hint="eastAsia" w:ascii="Times New Roman" w:hAnsi="Times New Roman" w:eastAsia="新宋体" w:cs="Times New Roman"/>
          <w:b/>
          <w:color w:val="000000" w:themeColor="text1"/>
          <w:sz w:val="24"/>
          <w:szCs w:val="24"/>
          <w:highlight w:val="none"/>
          <w14:textFill>
            <w14:solidFill>
              <w14:schemeClr w14:val="tx1"/>
            </w14:solidFill>
          </w14:textFill>
        </w:rPr>
        <w:t>评标方法前附表。</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bookmarkStart w:id="123" w:name="_Toc419964547"/>
      <w:r>
        <w:rPr>
          <w:rFonts w:hint="eastAsia" w:ascii="Times New Roman" w:hAnsi="Times New Roman" w:eastAsia="新宋体" w:cs="Times New Roman"/>
          <w:color w:val="000000" w:themeColor="text1"/>
          <w:sz w:val="24"/>
          <w:szCs w:val="24"/>
          <w:highlight w:val="none"/>
          <w14:textFill>
            <w14:solidFill>
              <w14:schemeClr w14:val="tx1"/>
            </w14:solidFill>
          </w14:textFill>
        </w:rPr>
        <w:t>2.2 分值构成与评分标准</w:t>
      </w:r>
      <w:bookmarkEnd w:id="123"/>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2.2.1分值构成（100分）</w:t>
      </w:r>
    </w:p>
    <w:p>
      <w:pPr>
        <w:widowControl/>
        <w:spacing w:line="300" w:lineRule="auto"/>
        <w:ind w:firstLine="960" w:firstLineChars="4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报价部分50分；</w:t>
      </w:r>
    </w:p>
    <w:p>
      <w:pPr>
        <w:widowControl/>
        <w:spacing w:line="300" w:lineRule="auto"/>
        <w:ind w:firstLine="960" w:firstLineChars="4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商务部分30分；</w:t>
      </w:r>
    </w:p>
    <w:p>
      <w:pPr>
        <w:widowControl/>
        <w:spacing w:line="300" w:lineRule="auto"/>
        <w:ind w:firstLine="960" w:firstLineChars="4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技术部分20分。</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2.2.2 评分标准</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（1）</w:t>
      </w:r>
      <w:r>
        <w:rPr>
          <w:rFonts w:ascii="Times New Roman" w:hAnsi="Times New Roman" w:eastAsia="新宋体" w:cs="Times New Roman"/>
          <w:color w:val="000000" w:themeColor="text1"/>
          <w:sz w:val="24"/>
          <w:szCs w:val="24"/>
          <w:highlight w:val="none"/>
          <w14:textFill>
            <w14:solidFill>
              <w14:schemeClr w14:val="tx1"/>
            </w14:solidFill>
          </w14:textFill>
        </w:rPr>
        <w:t>投标报价评分标准</w:t>
      </w:r>
      <w:r>
        <w:rPr>
          <w:rFonts w:hint="eastAsia" w:ascii="Times New Roman" w:hAnsi="Times New Roman" w:eastAsia="新宋体" w:cs="Times New Roman"/>
          <w:color w:val="000000" w:themeColor="text1"/>
          <w:sz w:val="24"/>
          <w:szCs w:val="24"/>
          <w:highlight w:val="none"/>
          <w14:textFill>
            <w14:solidFill>
              <w14:schemeClr w14:val="tx1"/>
            </w14:solidFill>
          </w14:textFill>
        </w:rPr>
        <w:t>：见评标方法前附表；</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（2）商务部分评分标准：见评标方法前附表；</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（3）技术部分评分标准：见评标方法前附表。</w:t>
      </w:r>
    </w:p>
    <w:p>
      <w:pPr>
        <w:widowControl/>
        <w:spacing w:line="300" w:lineRule="auto"/>
        <w:ind w:firstLine="482" w:firstLineChars="200"/>
        <w:outlineLvl w:val="2"/>
        <w:rPr>
          <w:rFonts w:ascii="Times New Roman" w:hAnsi="Times New Roman" w:eastAsia="新宋体" w:cs="Times New Roman"/>
          <w:b/>
          <w:color w:val="000000" w:themeColor="text1"/>
          <w:sz w:val="24"/>
          <w:szCs w:val="24"/>
          <w:highlight w:val="none"/>
          <w14:textFill>
            <w14:solidFill>
              <w14:schemeClr w14:val="tx1"/>
            </w14:solidFill>
          </w14:textFill>
        </w:rPr>
      </w:pPr>
      <w:bookmarkStart w:id="124" w:name="_Toc450645167"/>
      <w:bookmarkStart w:id="125" w:name="_Toc419964548"/>
      <w:r>
        <w:rPr>
          <w:rFonts w:hint="eastAsia" w:ascii="Times New Roman" w:hAnsi="Times New Roman" w:eastAsia="新宋体" w:cs="Times New Roman"/>
          <w:b/>
          <w:color w:val="000000" w:themeColor="text1"/>
          <w:sz w:val="24"/>
          <w:szCs w:val="24"/>
          <w:highlight w:val="none"/>
          <w14:textFill>
            <w14:solidFill>
              <w14:schemeClr w14:val="tx1"/>
            </w14:solidFill>
          </w14:textFill>
        </w:rPr>
        <w:t>3. 评标程序</w:t>
      </w:r>
      <w:bookmarkEnd w:id="124"/>
      <w:bookmarkEnd w:id="125"/>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bookmarkStart w:id="126" w:name="_Toc419964549"/>
      <w:r>
        <w:rPr>
          <w:rFonts w:hint="eastAsia" w:ascii="Times New Roman" w:hAnsi="Times New Roman" w:eastAsia="新宋体" w:cs="Times New Roman"/>
          <w:color w:val="000000" w:themeColor="text1"/>
          <w:sz w:val="24"/>
          <w:szCs w:val="24"/>
          <w:highlight w:val="none"/>
          <w14:textFill>
            <w14:solidFill>
              <w14:schemeClr w14:val="tx1"/>
            </w14:solidFill>
          </w14:textFill>
        </w:rPr>
        <w:t>3.1 初步评审</w:t>
      </w:r>
      <w:bookmarkEnd w:id="126"/>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3.1.1评标委员会可以要求投标人提交第二章第一节“投标人须知前附表”第2.6条投标人资格要求规定的有关证件的原件，以便核验。评标委员会依据本章第一节</w:t>
      </w:r>
      <w:r>
        <w:rPr>
          <w:rFonts w:hint="eastAsia" w:ascii="Times New Roman" w:hAnsi="Times New Roman" w:eastAsia="新宋体" w:cs="Times New Roman"/>
          <w:b/>
          <w:color w:val="000000" w:themeColor="text1"/>
          <w:sz w:val="24"/>
          <w:szCs w:val="24"/>
          <w:highlight w:val="none"/>
          <w14:textFill>
            <w14:solidFill>
              <w14:schemeClr w14:val="tx1"/>
            </w14:solidFill>
          </w14:textFill>
        </w:rPr>
        <w:t>评标方法前附表</w:t>
      </w:r>
      <w:r>
        <w:rPr>
          <w:rFonts w:hint="eastAsia" w:ascii="Times New Roman" w:hAnsi="Times New Roman" w:eastAsia="新宋体" w:cs="Times New Roman"/>
          <w:color w:val="000000" w:themeColor="text1"/>
          <w:sz w:val="24"/>
          <w:szCs w:val="24"/>
          <w:highlight w:val="none"/>
          <w14:textFill>
            <w14:solidFill>
              <w14:schemeClr w14:val="tx1"/>
            </w14:solidFill>
          </w14:textFill>
        </w:rPr>
        <w:t>2.1.1、2.1.2、2.1.3款规定的标准对投标文件进行初步评审，有一项不符合评审标准的，其投标将被否决。</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3.1.2 投标人有以下情形之一的，其投标将被否决：</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（1）第二章第二节“投标人须知”第2.4条所规定的任何一种情形的；</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（2）串通投标或弄虚作假或有其他违法行为的；</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（3）不按评标委员会要求澄清、说明或补正的。</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3.1.3投标报价有算术错误的，评标委员会按以下原则对投标报价进行修正，修正的价格经投标人书面确认后具有约束力。投标人不接受修正价格的，其投标将被否决。</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（1）投标文件中的大写金额与小写金额不一致的，以大写金额为准；</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（2）总价金额与依据单价计算出的结果不一致的，以单价金额为准修正总价，但单价金额小数点有明显错误的除外。</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（3）对不同文字文本投标文件的解释发生异议的，以中文文本为准。</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bookmarkStart w:id="127" w:name="_Toc419964550"/>
      <w:r>
        <w:rPr>
          <w:rFonts w:hint="eastAsia" w:ascii="Times New Roman" w:hAnsi="Times New Roman" w:eastAsia="新宋体" w:cs="Times New Roman"/>
          <w:color w:val="000000" w:themeColor="text1"/>
          <w:sz w:val="24"/>
          <w:szCs w:val="24"/>
          <w:highlight w:val="none"/>
          <w14:textFill>
            <w14:solidFill>
              <w14:schemeClr w14:val="tx1"/>
            </w14:solidFill>
          </w14:textFill>
        </w:rPr>
        <w:t>3.2 详细评审</w:t>
      </w:r>
      <w:bookmarkEnd w:id="127"/>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3.2.1评标委员会按本章第2.2款规定的评标因素和分值进行打分，并计算出综合评估得分。</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3.2.2评分分值计算保留小数点后两位。</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3.2.3 投标人总得分=报价部分得分+商务部分得分+技术部分得分。</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bookmarkStart w:id="128" w:name="_Toc419964551"/>
      <w:r>
        <w:rPr>
          <w:rFonts w:hint="eastAsia" w:ascii="Times New Roman" w:hAnsi="Times New Roman" w:eastAsia="新宋体" w:cs="Times New Roman"/>
          <w:color w:val="000000" w:themeColor="text1"/>
          <w:sz w:val="24"/>
          <w:szCs w:val="24"/>
          <w:highlight w:val="none"/>
          <w14:textFill>
            <w14:solidFill>
              <w14:schemeClr w14:val="tx1"/>
            </w14:solidFill>
          </w14:textFill>
        </w:rPr>
        <w:t>3.3 投标文件的澄清和补正</w:t>
      </w:r>
      <w:bookmarkEnd w:id="128"/>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3.3.1在评标过程中，评标委员会可以书面形式要求投标人对所提交投标文件中不明确的内容进行书面澄清或说明，或者对细微偏差进行补正。评标委员会不接受投标人主动提出的澄清、说明或补正。</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3.3.2 评标委员会对投标人提交的澄清、说明或补正有疑问的，可以要求投标人进一步澄清、说明或补正。</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3.3.3 澄清、说明和补正不得改变投标文件的实质性内容（算术性错误修正的除外）。投标人的书面澄清、说明和补正属于投标文件的组成部分。</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bookmarkStart w:id="129" w:name="_Toc419964552"/>
      <w:r>
        <w:rPr>
          <w:rFonts w:hint="eastAsia" w:ascii="Times New Roman" w:hAnsi="Times New Roman" w:eastAsia="新宋体" w:cs="Times New Roman"/>
          <w:color w:val="000000" w:themeColor="text1"/>
          <w:sz w:val="24"/>
          <w:szCs w:val="24"/>
          <w:highlight w:val="none"/>
          <w14:textFill>
            <w14:solidFill>
              <w14:schemeClr w14:val="tx1"/>
            </w14:solidFill>
          </w14:textFill>
        </w:rPr>
        <w:t>3.4 评标结果</w:t>
      </w:r>
      <w:bookmarkEnd w:id="129"/>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3.4.1除第二章“投标人须知前附表”授权直接确定中标人外，评标委员会按照得分由高到低的顺序推荐前三名为中标候选人。</w:t>
      </w:r>
    </w:p>
    <w:p>
      <w:pPr>
        <w:widowControl/>
        <w:spacing w:line="300" w:lineRule="auto"/>
        <w:ind w:firstLine="480" w:firstLineChars="200"/>
        <w:rPr>
          <w:rFonts w:ascii="Times New Roman" w:hAnsi="Times New Roman" w:eastAsia="新宋体" w:cs="Times New Roman"/>
          <w:color w:val="000000" w:themeColor="text1"/>
          <w:sz w:val="24"/>
          <w:szCs w:val="24"/>
          <w:highlight w:val="none"/>
          <w14:textFill>
            <w14:solidFill>
              <w14:schemeClr w14:val="tx1"/>
            </w14:solidFill>
          </w14:textFill>
        </w:rPr>
      </w:pPr>
      <w:r>
        <w:rPr>
          <w:rFonts w:hint="eastAsia" w:ascii="Times New Roman" w:hAnsi="Times New Roman" w:eastAsia="新宋体" w:cs="Times New Roman"/>
          <w:color w:val="000000" w:themeColor="text1"/>
          <w:sz w:val="24"/>
          <w:szCs w:val="24"/>
          <w:highlight w:val="none"/>
          <w14:textFill>
            <w14:solidFill>
              <w14:schemeClr w14:val="tx1"/>
            </w14:solidFill>
          </w14:textFill>
        </w:rPr>
        <w:t>3.4.2评标委员会完成评标后，应当向招标人提交书面评标报告。</w:t>
      </w:r>
    </w:p>
    <w:bookmarkEnd w:id="112"/>
    <w:bookmarkEnd w:id="113"/>
    <w:bookmarkEnd w:id="114"/>
    <w:bookmarkEnd w:id="115"/>
    <w:bookmarkEnd w:id="117"/>
    <w:bookmarkEnd w:id="118"/>
    <w:p>
      <w:pPr>
        <w:keepNext/>
        <w:keepLines/>
        <w:spacing w:line="360" w:lineRule="auto"/>
        <w:ind w:firstLine="883" w:firstLineChars="200"/>
        <w:jc w:val="center"/>
        <w:outlineLvl w:val="0"/>
        <w:rPr>
          <w:rFonts w:ascii="Calibri" w:hAnsi="Calibri" w:eastAsia="黑体" w:cs="Times New Roman"/>
          <w:b/>
          <w:bCs/>
          <w:color w:val="000000" w:themeColor="text1"/>
          <w:kern w:val="44"/>
          <w:sz w:val="44"/>
          <w:szCs w:val="44"/>
          <w:highlight w:val="none"/>
          <w14:textFill>
            <w14:solidFill>
              <w14:schemeClr w14:val="tx1"/>
            </w14:solidFill>
          </w14:textFill>
        </w:rPr>
      </w:pPr>
      <w:bookmarkStart w:id="130" w:name="_Toc489972852"/>
      <w:r>
        <w:rPr>
          <w:rFonts w:ascii="Calibri" w:hAnsi="Calibri" w:eastAsia="黑体" w:cs="Times New Roman"/>
          <w:b/>
          <w:bCs/>
          <w:color w:val="000000" w:themeColor="text1"/>
          <w:kern w:val="44"/>
          <w:sz w:val="44"/>
          <w:szCs w:val="44"/>
          <w:highlight w:val="none"/>
          <w14:textFill>
            <w14:solidFill>
              <w14:schemeClr w14:val="tx1"/>
            </w14:solidFill>
          </w14:textFill>
        </w:rPr>
        <w:br w:type="page"/>
      </w:r>
      <w:r>
        <w:rPr>
          <w:rFonts w:ascii="Calibri" w:hAnsi="Calibri" w:eastAsia="黑体" w:cs="Times New Roman"/>
          <w:b/>
          <w:bCs/>
          <w:color w:val="000000" w:themeColor="text1"/>
          <w:kern w:val="44"/>
          <w:sz w:val="44"/>
          <w:szCs w:val="44"/>
          <w:highlight w:val="none"/>
          <w14:textFill>
            <w14:solidFill>
              <w14:schemeClr w14:val="tx1"/>
            </w14:solidFill>
          </w14:textFill>
        </w:rPr>
        <w:t>第四章合同条款及格式</w:t>
      </w:r>
      <w:bookmarkEnd w:id="130"/>
      <w:r>
        <w:rPr>
          <w:rFonts w:hint="eastAsia" w:ascii="Calibri" w:hAnsi="Calibri" w:eastAsia="黑体" w:cs="Times New Roman"/>
          <w:b/>
          <w:bCs/>
          <w:color w:val="000000" w:themeColor="text1"/>
          <w:kern w:val="44"/>
          <w:sz w:val="44"/>
          <w:szCs w:val="44"/>
          <w:highlight w:val="none"/>
          <w14:textFill>
            <w14:solidFill>
              <w14:schemeClr w14:val="tx1"/>
            </w14:solidFill>
          </w14:textFill>
        </w:rPr>
        <w:t>（部分）</w:t>
      </w:r>
    </w:p>
    <w:p>
      <w:pPr>
        <w:pStyle w:val="2"/>
        <w:ind w:firstLine="643"/>
        <w:jc w:val="center"/>
        <w:rPr>
          <w:rFonts w:hint="eastAsia"/>
          <w:color w:val="000000" w:themeColor="text1"/>
          <w:sz w:val="32"/>
          <w:szCs w:val="32"/>
          <w:highlight w:val="none"/>
          <w14:textFill>
            <w14:solidFill>
              <w14:schemeClr w14:val="tx1"/>
            </w14:solidFill>
          </w14:textFill>
        </w:rPr>
      </w:pPr>
      <w:bookmarkStart w:id="131" w:name="_Toc428202485"/>
      <w:bookmarkStart w:id="132" w:name="_Toc93484480"/>
      <w:bookmarkStart w:id="133" w:name="_Toc172019070"/>
      <w:bookmarkStart w:id="134" w:name="_Toc489972853"/>
    </w:p>
    <w:p>
      <w:pPr>
        <w:pStyle w:val="2"/>
        <w:ind w:firstLine="643"/>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第一章项目</w:t>
      </w:r>
      <w:r>
        <w:rPr>
          <w:color w:val="000000" w:themeColor="text1"/>
          <w:sz w:val="32"/>
          <w:szCs w:val="32"/>
          <w:highlight w:val="none"/>
          <w14:textFill>
            <w14:solidFill>
              <w14:schemeClr w14:val="tx1"/>
            </w14:solidFill>
          </w14:textFill>
        </w:rPr>
        <w:t>说明</w:t>
      </w:r>
      <w:bookmarkEnd w:id="131"/>
    </w:p>
    <w:p>
      <w:pPr>
        <w:pStyle w:val="298"/>
        <w:numPr>
          <w:ilvl w:val="0"/>
          <w:numId w:val="16"/>
        </w:numPr>
        <w:adjustRightInd w:val="0"/>
        <w:spacing w:line="580" w:lineRule="exact"/>
        <w:ind w:left="0" w:firstLine="601" w:firstLineChars="0"/>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依据《中华人民共和国合同法》及其他有关法律、行政法规、遵循平等、自愿、公平和诚实信用的原则，甲、乙双方就重庆银行“监管统计报表系统”项目的软件开发，经协商一致，签订本合同，并保证严格履行。</w:t>
      </w:r>
    </w:p>
    <w:p>
      <w:pPr>
        <w:pStyle w:val="2"/>
        <w:ind w:firstLine="643"/>
        <w:jc w:val="center"/>
        <w:rPr>
          <w:color w:val="000000" w:themeColor="text1"/>
          <w:sz w:val="32"/>
          <w:szCs w:val="32"/>
          <w:highlight w:val="none"/>
          <w14:textFill>
            <w14:solidFill>
              <w14:schemeClr w14:val="tx1"/>
            </w14:solidFill>
          </w14:textFill>
        </w:rPr>
      </w:pPr>
      <w:bookmarkStart w:id="135" w:name="_Toc428202486"/>
      <w:r>
        <w:rPr>
          <w:rFonts w:hint="eastAsia"/>
          <w:color w:val="000000" w:themeColor="text1"/>
          <w:sz w:val="32"/>
          <w:szCs w:val="32"/>
          <w:highlight w:val="none"/>
          <w14:textFill>
            <w14:solidFill>
              <w14:schemeClr w14:val="tx1"/>
            </w14:solidFill>
          </w14:textFill>
        </w:rPr>
        <w:t>第二章术语</w:t>
      </w:r>
      <w:r>
        <w:rPr>
          <w:color w:val="000000" w:themeColor="text1"/>
          <w:sz w:val="32"/>
          <w:szCs w:val="32"/>
          <w:highlight w:val="none"/>
          <w14:textFill>
            <w14:solidFill>
              <w14:schemeClr w14:val="tx1"/>
            </w14:solidFill>
          </w14:textFill>
        </w:rPr>
        <w:t>定义</w:t>
      </w:r>
      <w:bookmarkEnd w:id="132"/>
      <w:bookmarkEnd w:id="133"/>
      <w:bookmarkEnd w:id="135"/>
    </w:p>
    <w:p>
      <w:pPr>
        <w:pStyle w:val="298"/>
        <w:numPr>
          <w:ilvl w:val="0"/>
          <w:numId w:val="16"/>
        </w:numPr>
        <w:adjustRightInd w:val="0"/>
        <w:spacing w:line="580" w:lineRule="exact"/>
        <w:ind w:left="0" w:firstLine="601" w:firstLineChars="0"/>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除非本合同另有特别约定，本合同所使用的术语、概念的含义如下：</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2.1</w:t>
      </w:r>
      <w:r>
        <w:rPr>
          <w:rFonts w:hint="eastAsia" w:ascii="宋体" w:hAnsi="宋体"/>
          <w:color w:val="000000" w:themeColor="text1"/>
          <w:sz w:val="30"/>
          <w:szCs w:val="30"/>
          <w:highlight w:val="none"/>
          <w14:textFill>
            <w14:solidFill>
              <w14:schemeClr w14:val="tx1"/>
            </w14:solidFill>
          </w14:textFill>
        </w:rPr>
        <w:t>“合同”系指甲乙双方签署的、合同格式中载明的甲乙双方所达成的协议，包括所有的附件、附录和构成合同的所有文件。</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w:t>
      </w:r>
      <w:r>
        <w:rPr>
          <w:rFonts w:hint="eastAsia" w:ascii="宋体" w:hAnsi="宋体"/>
          <w:color w:val="000000" w:themeColor="text1"/>
          <w:sz w:val="30"/>
          <w:szCs w:val="30"/>
          <w:highlight w:val="none"/>
          <w14:textFill>
            <w14:solidFill>
              <w14:schemeClr w14:val="tx1"/>
            </w14:solidFill>
          </w14:textFill>
        </w:rPr>
        <w:t>2“合同价”系指根据合同规定乙方在正确地完全履行合同义务后甲方应支付给乙方的价格。</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2.3</w:t>
      </w:r>
      <w:r>
        <w:rPr>
          <w:rFonts w:hint="eastAsia" w:ascii="宋体" w:hAnsi="宋体"/>
          <w:color w:val="000000" w:themeColor="text1"/>
          <w:sz w:val="30"/>
          <w:szCs w:val="30"/>
          <w:highlight w:val="none"/>
          <w14:textFill>
            <w14:solidFill>
              <w14:schemeClr w14:val="tx1"/>
            </w14:solidFill>
          </w14:textFill>
        </w:rPr>
        <w:t>“软件”包括“系统软件”，除另有指明外，指描述于本合同及附件中的在本合同履行期内所开发和提供的当前和将来的软件版本，包括乙方为履行本合同所开发和提供的软件版本和相关的文件。</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2.4</w:t>
      </w:r>
      <w:r>
        <w:rPr>
          <w:rFonts w:hint="eastAsia" w:ascii="宋体" w:hAnsi="宋体"/>
          <w:color w:val="000000" w:themeColor="text1"/>
          <w:sz w:val="30"/>
          <w:szCs w:val="30"/>
          <w:highlight w:val="none"/>
          <w14:textFill>
            <w14:solidFill>
              <w14:schemeClr w14:val="tx1"/>
            </w14:solidFill>
          </w14:textFill>
        </w:rPr>
        <w:t>“可交付件”指合同及其附件中指定的由乙方所交付的软件，包括源代码、安装盘、技术文档、用户指南、操作手册、安装指南和测试报告等。</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2.5</w:t>
      </w:r>
      <w:r>
        <w:rPr>
          <w:rFonts w:hint="eastAsia" w:ascii="宋体" w:hAnsi="宋体"/>
          <w:color w:val="000000" w:themeColor="text1"/>
          <w:sz w:val="30"/>
          <w:szCs w:val="30"/>
          <w:highlight w:val="none"/>
          <w14:textFill>
            <w14:solidFill>
              <w14:schemeClr w14:val="tx1"/>
            </w14:solidFill>
          </w14:textFill>
        </w:rPr>
        <w:t>“交付”指乙方在双方规定的日期内交付约定开发的软件的行为。但是乙方完成交付行为，并不意味着乙方已经完成了本合同项下所规定的的所有义务。</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2.6</w:t>
      </w:r>
      <w:r>
        <w:rPr>
          <w:rFonts w:hint="eastAsia" w:ascii="宋体" w:hAnsi="宋体"/>
          <w:color w:val="000000" w:themeColor="text1"/>
          <w:sz w:val="30"/>
          <w:szCs w:val="30"/>
          <w:highlight w:val="none"/>
          <w14:textFill>
            <w14:solidFill>
              <w14:schemeClr w14:val="tx1"/>
            </w14:solidFill>
          </w14:textFill>
        </w:rPr>
        <w:t>“规格”是指在技术或其他开发任务上所设定的技术标准、规范。</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2.7</w:t>
      </w:r>
      <w:r>
        <w:rPr>
          <w:rFonts w:hint="eastAsia" w:ascii="宋体" w:hAnsi="宋体"/>
          <w:color w:val="000000" w:themeColor="text1"/>
          <w:sz w:val="30"/>
          <w:szCs w:val="30"/>
          <w:highlight w:val="none"/>
          <w14:textFill>
            <w14:solidFill>
              <w14:schemeClr w14:val="tx1"/>
            </w14:solidFill>
          </w14:textFill>
        </w:rPr>
        <w:t>“源代码”指用于该软件的所有源代码。其必须可为熟练的程序员理解和使用，可打印以及被机器阅读或具备其他合理而必要的形式，包括对该软件的评估、测试或其他技术文件。</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2.8</w:t>
      </w:r>
      <w:r>
        <w:rPr>
          <w:rFonts w:hint="eastAsia" w:ascii="宋体" w:hAnsi="宋体"/>
          <w:color w:val="000000" w:themeColor="text1"/>
          <w:sz w:val="30"/>
          <w:szCs w:val="30"/>
          <w:highlight w:val="none"/>
          <w14:textFill>
            <w14:solidFill>
              <w14:schemeClr w14:val="tx1"/>
            </w14:solidFill>
          </w14:textFill>
        </w:rPr>
        <w:t>“商业秘密”指甲、乙方各自拥有的，不为公众所知的管理信息、方式方法、顾客名单、商业数据、产品信息、销售渠道、技术诀窍、源代码、计算机文档等，或由甲、乙方在履行本合同过程中明确指明为商业秘密的、法律法规所认可的任何信息。</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2.9</w:t>
      </w:r>
      <w:r>
        <w:rPr>
          <w:rFonts w:hint="eastAsia" w:ascii="宋体" w:hAnsi="宋体"/>
          <w:color w:val="000000" w:themeColor="text1"/>
          <w:sz w:val="30"/>
          <w:szCs w:val="30"/>
          <w:highlight w:val="none"/>
          <w14:textFill>
            <w14:solidFill>
              <w14:schemeClr w14:val="tx1"/>
            </w14:solidFill>
          </w14:textFill>
        </w:rPr>
        <w:t>“工作日”指国家所规定的节假日之外的所有工作日，未指明为工作日的日期指自然顺延的日期。</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2.10</w:t>
      </w:r>
      <w:r>
        <w:rPr>
          <w:rFonts w:hint="eastAsia" w:ascii="宋体" w:hAnsi="宋体"/>
          <w:color w:val="000000" w:themeColor="text1"/>
          <w:sz w:val="30"/>
          <w:szCs w:val="30"/>
          <w:highlight w:val="none"/>
          <w14:textFill>
            <w14:solidFill>
              <w14:schemeClr w14:val="tx1"/>
            </w14:solidFill>
          </w14:textFill>
        </w:rPr>
        <w:t>“服务”系指如分析、设计、开发、咨询、实施、培训、试运行、维护、技术支持和项目管理等招标、投标文件中所描述的活动。服务亦包括招标、投标文件中特别描述的其他形式的服务。</w:t>
      </w:r>
    </w:p>
    <w:p>
      <w:pPr>
        <w:pStyle w:val="2"/>
        <w:ind w:firstLine="723"/>
        <w:jc w:val="center"/>
        <w:rPr>
          <w:rFonts w:ascii="宋体" w:hAnsi="宋体"/>
          <w:b w:val="0"/>
          <w:color w:val="000000" w:themeColor="text1"/>
          <w:sz w:val="36"/>
          <w:szCs w:val="30"/>
          <w:highlight w:val="none"/>
          <w14:textFill>
            <w14:solidFill>
              <w14:schemeClr w14:val="tx1"/>
            </w14:solidFill>
          </w14:textFill>
        </w:rPr>
      </w:pPr>
      <w:bookmarkStart w:id="136" w:name="_Toc428202487"/>
      <w:r>
        <w:rPr>
          <w:rFonts w:hint="eastAsia" w:ascii="宋体" w:hAnsi="宋体"/>
          <w:color w:val="000000" w:themeColor="text1"/>
          <w:sz w:val="36"/>
          <w:szCs w:val="30"/>
          <w:highlight w:val="none"/>
          <w14:textFill>
            <w14:solidFill>
              <w14:schemeClr w14:val="tx1"/>
            </w14:solidFill>
          </w14:textFill>
        </w:rPr>
        <w:t>第三章  服务范围、</w:t>
      </w:r>
      <w:r>
        <w:rPr>
          <w:rFonts w:ascii="宋体" w:hAnsi="宋体"/>
          <w:color w:val="000000" w:themeColor="text1"/>
          <w:sz w:val="36"/>
          <w:szCs w:val="30"/>
          <w:highlight w:val="none"/>
          <w14:textFill>
            <w14:solidFill>
              <w14:schemeClr w14:val="tx1"/>
            </w14:solidFill>
          </w14:textFill>
        </w:rPr>
        <w:t>内容</w:t>
      </w:r>
      <w:bookmarkEnd w:id="136"/>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本次重庆</w:t>
      </w:r>
      <w:r>
        <w:rPr>
          <w:rFonts w:ascii="宋体" w:hAnsi="宋体"/>
          <w:color w:val="000000" w:themeColor="text1"/>
          <w:sz w:val="30"/>
          <w:szCs w:val="30"/>
          <w:highlight w:val="none"/>
          <w14:textFill>
            <w14:solidFill>
              <w14:schemeClr w14:val="tx1"/>
            </w14:solidFill>
          </w14:textFill>
        </w:rPr>
        <w:t>银行</w:t>
      </w:r>
      <w:r>
        <w:rPr>
          <w:rFonts w:hint="eastAsia" w:ascii="宋体" w:hAnsi="宋体"/>
          <w:color w:val="000000" w:themeColor="text1"/>
          <w:sz w:val="30"/>
          <w:szCs w:val="30"/>
          <w:highlight w:val="none"/>
          <w14:textFill>
            <w14:solidFill>
              <w14:schemeClr w14:val="tx1"/>
            </w14:solidFill>
          </w14:textFill>
        </w:rPr>
        <w:t>“监管统计报表系统”建设项目的</w:t>
      </w:r>
      <w:r>
        <w:rPr>
          <w:rFonts w:ascii="宋体" w:hAnsi="宋体"/>
          <w:color w:val="000000" w:themeColor="text1"/>
          <w:sz w:val="30"/>
          <w:szCs w:val="30"/>
          <w:highlight w:val="none"/>
          <w14:textFill>
            <w14:solidFill>
              <w14:schemeClr w14:val="tx1"/>
            </w14:solidFill>
          </w14:textFill>
        </w:rPr>
        <w:t>工作范围包括：</w:t>
      </w:r>
    </w:p>
    <w:p>
      <w:pPr>
        <w:pStyle w:val="2"/>
        <w:ind w:firstLine="600"/>
        <w:jc w:val="left"/>
        <w:rPr>
          <w:rFonts w:ascii="宋体" w:hAnsi="宋体" w:eastAsia="宋体"/>
          <w:b w:val="0"/>
          <w:bCs w:val="0"/>
          <w:color w:val="000000" w:themeColor="text1"/>
          <w:kern w:val="2"/>
          <w:sz w:val="30"/>
          <w:szCs w:val="30"/>
          <w:highlight w:val="none"/>
          <w14:textFill>
            <w14:solidFill>
              <w14:schemeClr w14:val="tx1"/>
            </w14:solidFill>
          </w14:textFill>
        </w:rPr>
      </w:pPr>
      <w:bookmarkStart w:id="137" w:name="_Toc428202488"/>
      <w:r>
        <w:rPr>
          <w:rFonts w:hint="eastAsia" w:ascii="宋体" w:hAnsi="宋体" w:eastAsia="宋体"/>
          <w:b w:val="0"/>
          <w:bCs w:val="0"/>
          <w:color w:val="000000" w:themeColor="text1"/>
          <w:kern w:val="2"/>
          <w:sz w:val="30"/>
          <w:szCs w:val="30"/>
          <w:highlight w:val="none"/>
          <w14:textFill>
            <w14:solidFill>
              <w14:schemeClr w14:val="tx1"/>
            </w14:solidFill>
          </w14:textFill>
        </w:rPr>
        <w:t>数据补录、数据抽取、报表灵活定制、报表批量处理、指标分析、报表权限控制、系统运行监控等功能。定制、查询和管理监管机构需要的报表和我行业务部门需要的统计报表，支持对指标的展示、查询、分析以及明细数据的灵活查询。系统能够生产监管部门要求的各类报文，既可以向监管机构报送监管需要的传统报表或规定格式文件，也可以按照监管要求报送标准化的明细数据。</w:t>
      </w:r>
    </w:p>
    <w:p>
      <w:pPr>
        <w:pStyle w:val="2"/>
        <w:ind w:firstLine="600"/>
        <w:jc w:val="left"/>
        <w:rPr>
          <w:rFonts w:ascii="宋体" w:hAnsi="宋体" w:eastAsia="宋体"/>
          <w:b w:val="0"/>
          <w:bCs w:val="0"/>
          <w:color w:val="000000" w:themeColor="text1"/>
          <w:kern w:val="2"/>
          <w:sz w:val="30"/>
          <w:szCs w:val="30"/>
          <w:highlight w:val="none"/>
          <w14:textFill>
            <w14:solidFill>
              <w14:schemeClr w14:val="tx1"/>
            </w14:solidFill>
          </w14:textFill>
        </w:rPr>
      </w:pPr>
      <w:r>
        <w:rPr>
          <w:rFonts w:hint="eastAsia" w:ascii="宋体" w:hAnsi="宋体" w:eastAsia="宋体"/>
          <w:b w:val="0"/>
          <w:bCs w:val="0"/>
          <w:color w:val="000000" w:themeColor="text1"/>
          <w:kern w:val="2"/>
          <w:sz w:val="30"/>
          <w:szCs w:val="30"/>
          <w:highlight w:val="none"/>
          <w14:textFill>
            <w14:solidFill>
              <w14:schemeClr w14:val="tx1"/>
            </w14:solidFill>
          </w14:textFill>
        </w:rPr>
        <w:t>建立符合监管要求及我行发展需要的数据集市,具备适合我行各类统计工作需要的数据模型。该数据模型应在整合人民银行金融标准化、大集中报送、利率报备及银监会非现场监管报表、EAST、客户风险报送等现有监管口径基础上，涵盖我行各类业务信息，实现数据按主题统一管理，并具有一定前瞻性，易于维护。系统数据标准参考我行已制定的数据标准。新的监管统计报表系统建成上线后，将取代原有监管统计报表系统。</w:t>
      </w:r>
    </w:p>
    <w:p>
      <w:pPr>
        <w:ind w:firstLine="883"/>
        <w:rPr>
          <w:rFonts w:ascii="宋体" w:hAnsi="宋体" w:eastAsia="宋体" w:cs="Times New Roman"/>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14:textFill>
            <w14:solidFill>
              <w14:schemeClr w14:val="tx1"/>
            </w14:solidFill>
          </w14:textFill>
        </w:rPr>
        <w:t>具体详见：《重庆银行监管统计报表系统项目技术方案》</w:t>
      </w:r>
    </w:p>
    <w:p>
      <w:pPr>
        <w:ind w:firstLine="883"/>
        <w:rPr>
          <w:rFonts w:ascii="宋体" w:hAnsi="宋体" w:eastAsia="宋体"/>
          <w:color w:val="000000" w:themeColor="text1"/>
          <w:sz w:val="30"/>
          <w:szCs w:val="30"/>
          <w:highlight w:val="none"/>
          <w14:textFill>
            <w14:solidFill>
              <w14:schemeClr w14:val="tx1"/>
            </w14:solidFill>
          </w14:textFill>
        </w:rPr>
      </w:pPr>
    </w:p>
    <w:p>
      <w:pPr>
        <w:pStyle w:val="2"/>
        <w:ind w:firstLine="723"/>
        <w:jc w:val="center"/>
        <w:rPr>
          <w:rFonts w:ascii="宋体" w:hAnsi="宋体"/>
          <w:color w:val="000000" w:themeColor="text1"/>
          <w:sz w:val="36"/>
          <w:szCs w:val="32"/>
          <w:highlight w:val="none"/>
          <w14:textFill>
            <w14:solidFill>
              <w14:schemeClr w14:val="tx1"/>
            </w14:solidFill>
          </w14:textFill>
        </w:rPr>
      </w:pPr>
      <w:r>
        <w:rPr>
          <w:rFonts w:hint="eastAsia" w:ascii="宋体" w:hAnsi="宋体"/>
          <w:color w:val="000000" w:themeColor="text1"/>
          <w:sz w:val="36"/>
          <w:szCs w:val="32"/>
          <w:highlight w:val="none"/>
          <w14:textFill>
            <w14:solidFill>
              <w14:schemeClr w14:val="tx1"/>
            </w14:solidFill>
          </w14:textFill>
        </w:rPr>
        <w:t>第四章  工作时限</w:t>
      </w:r>
      <w:r>
        <w:rPr>
          <w:rFonts w:ascii="宋体" w:hAnsi="宋体"/>
          <w:color w:val="000000" w:themeColor="text1"/>
          <w:sz w:val="36"/>
          <w:szCs w:val="32"/>
          <w:highlight w:val="none"/>
          <w14:textFill>
            <w14:solidFill>
              <w14:schemeClr w14:val="tx1"/>
            </w14:solidFill>
          </w14:textFill>
        </w:rPr>
        <w:t>及安排</w:t>
      </w:r>
      <w:bookmarkEnd w:id="137"/>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项目服务期限</w:t>
      </w:r>
      <w:r>
        <w:rPr>
          <w:rFonts w:ascii="宋体" w:hAnsi="宋体"/>
          <w:color w:val="000000" w:themeColor="text1"/>
          <w:sz w:val="30"/>
          <w:szCs w:val="30"/>
          <w:highlight w:val="none"/>
          <w14:textFill>
            <w14:solidFill>
              <w14:schemeClr w14:val="tx1"/>
            </w14:solidFill>
          </w14:textFill>
        </w:rPr>
        <w:t>要求</w:t>
      </w:r>
    </w:p>
    <w:p>
      <w:pPr>
        <w:spacing w:line="360" w:lineRule="auto"/>
        <w:ind w:firstLine="600" w:firstLineChars="200"/>
        <w:rPr>
          <w:rFonts w:ascii="宋体" w:hAnsi="宋体"/>
          <w:color w:val="000000" w:themeColor="text1"/>
          <w:sz w:val="30"/>
          <w:szCs w:val="30"/>
          <w:highlight w:val="none"/>
          <w:u w:val="singl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合同签订后7个月内完成</w:t>
      </w:r>
    </w:p>
    <w:p>
      <w:pPr>
        <w:rPr>
          <w:color w:val="000000" w:themeColor="text1"/>
          <w:highlight w:val="none"/>
          <w14:textFill>
            <w14:solidFill>
              <w14:schemeClr w14:val="tx1"/>
            </w14:solidFill>
          </w14:textFill>
        </w:rPr>
      </w:pPr>
    </w:p>
    <w:p>
      <w:pPr>
        <w:pStyle w:val="2"/>
        <w:ind w:firstLine="723"/>
        <w:jc w:val="center"/>
        <w:rPr>
          <w:rFonts w:ascii="宋体" w:hAnsi="宋体"/>
          <w:b w:val="0"/>
          <w:color w:val="000000" w:themeColor="text1"/>
          <w:sz w:val="36"/>
          <w:szCs w:val="32"/>
          <w:highlight w:val="none"/>
          <w14:textFill>
            <w14:solidFill>
              <w14:schemeClr w14:val="tx1"/>
            </w14:solidFill>
          </w14:textFill>
        </w:rPr>
      </w:pPr>
      <w:bookmarkStart w:id="138" w:name="_Toc428202489"/>
      <w:r>
        <w:rPr>
          <w:rFonts w:hint="eastAsia" w:ascii="宋体" w:hAnsi="宋体"/>
          <w:color w:val="000000" w:themeColor="text1"/>
          <w:sz w:val="36"/>
          <w:szCs w:val="32"/>
          <w:highlight w:val="none"/>
          <w14:textFill>
            <w14:solidFill>
              <w14:schemeClr w14:val="tx1"/>
            </w14:solidFill>
          </w14:textFill>
        </w:rPr>
        <w:t>第五章 双方权利与义务</w:t>
      </w:r>
      <w:bookmarkEnd w:id="138"/>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甲方权利与义务</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5.1 甲方按照项目开发计划提供完成本项目所需环境，包括软硬件环境、工作场所等；</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5.2 甲方向乙方提供并允许乙方为开发工作目的而使用的双方商议确认的信息、数据、资料；</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5.3 甲方有对技术开发方案进行审定，及时组织项目测试及验收，</w:t>
      </w:r>
      <w:r>
        <w:rPr>
          <w:rFonts w:ascii="宋体" w:hAnsi="宋体"/>
          <w:color w:val="000000" w:themeColor="text1"/>
          <w:sz w:val="30"/>
          <w:szCs w:val="30"/>
          <w:highlight w:val="none"/>
          <w14:textFill>
            <w14:solidFill>
              <w14:schemeClr w14:val="tx1"/>
            </w14:solidFill>
          </w14:textFill>
        </w:rPr>
        <w:t>确认开发成功的权利</w:t>
      </w:r>
      <w:r>
        <w:rPr>
          <w:rFonts w:hint="eastAsia" w:ascii="宋体" w:hAnsi="宋体"/>
          <w:color w:val="000000" w:themeColor="text1"/>
          <w:sz w:val="30"/>
          <w:szCs w:val="30"/>
          <w:highlight w:val="none"/>
          <w14:textFill>
            <w14:solidFill>
              <w14:schemeClr w14:val="tx1"/>
            </w14:solidFill>
          </w14:textFill>
        </w:rPr>
        <w:t>；</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5.4甲方委派专人负责其内部各部门的协调工作，并委派相关人员与乙方委派的技术人员组成项目开发组，配合项目开发工作；</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5.5有权要求乙方更换不合格的项目成员，项目成员是否合格的最终解释权归甲方所有。</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乙方权利与义务</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6.1 乙方保证其拥有从事本项目开发工作的资质及开发能力，并保证甲方使用本系统不会侵犯任何第三方知识产权，并确保甲方依据本次建设所获得的知识产权不存在任何瑕疵并且可以不受限制的行使相关权利，包括各项延伸权利。若因此发生任何争议、侵权，均应当由乙方独自承担全部责任，包括但不限于应当承担其自身及甲方为排除任何争议及/或瑕疵所应当或所需要支付的一些相关及/或由此引起的费用。</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6.2乙方应根据甲方信息系统建设的设计要求，进行应用系统项目开发；</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6.3乙方应根据项目需求规格说明书，进行设计、开发、测试和上线工作；</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6.4乙方负责本项目项目管理，对项目开发进行严格的质量管理；</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6.5乙方应按本合同规定的项目进度进行开发工作，并按本合同规定的期限交付开发成果；</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6.6乙方应根据本合同有关条款对甲方人员进行培训；</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6.7乙方应根据本合同有关条款提供产品技术支持及服务，以保证甲方相关业务正常开展；</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6.8乙方人员在甲方现场工作期间，应严格遵守甲方的相关规章管理制度以及遵从银行业相关监督法规，特别是有关信息科技风险制度和流程。</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6.9乙方需保障甲方对外包活动的监控和检查的权利，配合甲方的内、外部审计机构的监督检查，及配合银行业监管机构的监督检查。</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6.10未经甲方同意，乙方不得将外包服务分包、转包或变相转包。甲方可要求乙方提供外包人员的入职证明以及外包人员的相关资质证明。</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6.11 乙方</w:t>
      </w:r>
      <w:r>
        <w:rPr>
          <w:rFonts w:ascii="宋体" w:hAnsi="宋体"/>
          <w:color w:val="000000" w:themeColor="text1"/>
          <w:sz w:val="30"/>
          <w:szCs w:val="30"/>
          <w:highlight w:val="none"/>
          <w14:textFill>
            <w14:solidFill>
              <w14:schemeClr w14:val="tx1"/>
            </w14:solidFill>
          </w14:textFill>
        </w:rPr>
        <w:t>应配合</w:t>
      </w:r>
      <w:r>
        <w:rPr>
          <w:rFonts w:hint="eastAsia" w:ascii="宋体" w:hAnsi="宋体"/>
          <w:color w:val="000000" w:themeColor="text1"/>
          <w:sz w:val="30"/>
          <w:szCs w:val="30"/>
          <w:highlight w:val="none"/>
          <w14:textFill>
            <w14:solidFill>
              <w14:schemeClr w14:val="tx1"/>
            </w14:solidFill>
          </w14:textFill>
        </w:rPr>
        <w:t>甲方</w:t>
      </w:r>
      <w:r>
        <w:rPr>
          <w:rFonts w:ascii="宋体" w:hAnsi="宋体"/>
          <w:color w:val="000000" w:themeColor="text1"/>
          <w:sz w:val="30"/>
          <w:szCs w:val="30"/>
          <w:highlight w:val="none"/>
          <w14:textFill>
            <w14:solidFill>
              <w14:schemeClr w14:val="tx1"/>
            </w14:solidFill>
          </w14:textFill>
        </w:rPr>
        <w:t>的外包绩效考核管理工作。</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w:t>
      </w:r>
      <w:r>
        <w:rPr>
          <w:rFonts w:ascii="宋体" w:hAnsi="宋体"/>
          <w:color w:val="000000" w:themeColor="text1"/>
          <w:sz w:val="30"/>
          <w:szCs w:val="30"/>
          <w:highlight w:val="none"/>
          <w14:textFill>
            <w14:solidFill>
              <w14:schemeClr w14:val="tx1"/>
            </w14:solidFill>
          </w14:textFill>
        </w:rPr>
        <w:t xml:space="preserve">.12 </w:t>
      </w:r>
      <w:r>
        <w:rPr>
          <w:rFonts w:hint="eastAsia" w:ascii="宋体" w:hAnsi="宋体"/>
          <w:color w:val="000000" w:themeColor="text1"/>
          <w:sz w:val="30"/>
          <w:szCs w:val="30"/>
          <w:highlight w:val="none"/>
          <w14:textFill>
            <w14:solidFill>
              <w14:schemeClr w14:val="tx1"/>
            </w14:solidFill>
          </w14:textFill>
        </w:rPr>
        <w:t>乙方应根据甲方要求及时调换现场实施人员。</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6.13乙方不得以重庆银行的名义开展其他活动。</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6.14</w:t>
      </w:r>
      <w:r>
        <w:rPr>
          <w:rFonts w:ascii="宋体" w:hAnsi="宋体"/>
          <w:color w:val="000000" w:themeColor="text1"/>
          <w:sz w:val="30"/>
          <w:szCs w:val="30"/>
          <w:highlight w:val="none"/>
          <w14:textFill>
            <w14:solidFill>
              <w14:schemeClr w14:val="tx1"/>
            </w14:solidFill>
          </w14:textFill>
        </w:rPr>
        <w:t>因履行合同而发生的一切安全保障责任、人身伤亡事故及造成的经济损失由乙方承担赔偿责任</w:t>
      </w:r>
      <w:r>
        <w:rPr>
          <w:rFonts w:hint="eastAsia" w:ascii="宋体" w:hAnsi="宋体"/>
          <w:color w:val="000000" w:themeColor="text1"/>
          <w:sz w:val="30"/>
          <w:szCs w:val="30"/>
          <w:highlight w:val="none"/>
          <w14:textFill>
            <w14:solidFill>
              <w14:schemeClr w14:val="tx1"/>
            </w14:solidFill>
          </w14:textFill>
        </w:rPr>
        <w:t>。</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6.15乙方应严格按照消费者权益保护相关法律法规、监管规定的要求执行，乙方负有保护甲方个人金融信息的职责和保密义务，以保护甲方金融消费者合法权益。</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6.16乙方应承诺保障甲方客户信息的安全性，当客户信息不安全或客户权利受到影响时，甲方有权随时终止本合同。</w:t>
      </w:r>
    </w:p>
    <w:p>
      <w:pPr>
        <w:pStyle w:val="2"/>
        <w:ind w:firstLine="723"/>
        <w:jc w:val="center"/>
        <w:rPr>
          <w:rFonts w:ascii="宋体" w:hAnsi="宋体"/>
          <w:color w:val="000000" w:themeColor="text1"/>
          <w:sz w:val="36"/>
          <w:szCs w:val="32"/>
          <w:highlight w:val="none"/>
          <w14:textFill>
            <w14:solidFill>
              <w14:schemeClr w14:val="tx1"/>
            </w14:solidFill>
          </w14:textFill>
        </w:rPr>
      </w:pPr>
      <w:bookmarkStart w:id="139" w:name="_Toc428202490"/>
      <w:r>
        <w:rPr>
          <w:rFonts w:hint="eastAsia" w:ascii="宋体" w:hAnsi="宋体"/>
          <w:color w:val="000000" w:themeColor="text1"/>
          <w:sz w:val="36"/>
          <w:szCs w:val="32"/>
          <w:highlight w:val="none"/>
          <w14:textFill>
            <w14:solidFill>
              <w14:schemeClr w14:val="tx1"/>
            </w14:solidFill>
          </w14:textFill>
        </w:rPr>
        <w:t>第六章项目履行</w:t>
      </w:r>
      <w:r>
        <w:rPr>
          <w:rFonts w:ascii="宋体" w:hAnsi="宋体"/>
          <w:color w:val="000000" w:themeColor="text1"/>
          <w:sz w:val="36"/>
          <w:szCs w:val="32"/>
          <w:highlight w:val="none"/>
          <w14:textFill>
            <w14:solidFill>
              <w14:schemeClr w14:val="tx1"/>
            </w14:solidFill>
          </w14:textFill>
        </w:rPr>
        <w:t>与验收</w:t>
      </w:r>
      <w:bookmarkEnd w:id="139"/>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甲乙双方按照项目工作范围和项目计划共同讨论项目业务需求，完成需求差异分析阶段后，由甲方最终确认并共同签署《重庆银行“监管统计报表系统”建设项目需求规格说明书》。</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乙方</w:t>
      </w:r>
      <w:r>
        <w:rPr>
          <w:rFonts w:ascii="宋体" w:hAnsi="宋体"/>
          <w:color w:val="000000" w:themeColor="text1"/>
          <w:sz w:val="30"/>
          <w:szCs w:val="30"/>
          <w:highlight w:val="none"/>
          <w14:textFill>
            <w14:solidFill>
              <w14:schemeClr w14:val="tx1"/>
            </w14:solidFill>
          </w14:textFill>
        </w:rPr>
        <w:t>需严格按照</w:t>
      </w:r>
      <w:r>
        <w:rPr>
          <w:rFonts w:hint="eastAsia" w:ascii="宋体" w:hAnsi="宋体"/>
          <w:color w:val="000000" w:themeColor="text1"/>
          <w:sz w:val="30"/>
          <w:szCs w:val="30"/>
          <w:highlight w:val="none"/>
          <w14:textFill>
            <w14:solidFill>
              <w14:schemeClr w14:val="tx1"/>
            </w14:solidFill>
          </w14:textFill>
        </w:rPr>
        <w:t>附件</w:t>
      </w:r>
      <w:r>
        <w:rPr>
          <w:rFonts w:ascii="宋体" w:hAnsi="宋体"/>
          <w:color w:val="000000" w:themeColor="text1"/>
          <w:sz w:val="30"/>
          <w:szCs w:val="30"/>
          <w:highlight w:val="none"/>
          <w14:textFill>
            <w14:solidFill>
              <w14:schemeClr w14:val="tx1"/>
            </w14:solidFill>
          </w14:textFill>
        </w:rPr>
        <w:t>一</w:t>
      </w:r>
      <w:r>
        <w:rPr>
          <w:rFonts w:hint="eastAsia" w:ascii="宋体" w:hAnsi="宋体"/>
          <w:color w:val="000000" w:themeColor="text1"/>
          <w:sz w:val="30"/>
          <w:szCs w:val="30"/>
          <w:highlight w:val="none"/>
          <w14:textFill>
            <w14:solidFill>
              <w14:schemeClr w14:val="tx1"/>
            </w14:solidFill>
          </w14:textFill>
        </w:rPr>
        <w:t>的</w:t>
      </w:r>
      <w:r>
        <w:rPr>
          <w:rFonts w:ascii="宋体" w:hAnsi="宋体"/>
          <w:color w:val="000000" w:themeColor="text1"/>
          <w:sz w:val="30"/>
          <w:szCs w:val="30"/>
          <w:highlight w:val="none"/>
          <w14:textFill>
            <w14:solidFill>
              <w14:schemeClr w14:val="tx1"/>
            </w14:solidFill>
          </w14:textFill>
        </w:rPr>
        <w:t>内容进行项目实施，若</w:t>
      </w:r>
      <w:r>
        <w:rPr>
          <w:rFonts w:hint="eastAsia" w:ascii="宋体" w:hAnsi="宋体"/>
          <w:color w:val="000000" w:themeColor="text1"/>
          <w:sz w:val="30"/>
          <w:szCs w:val="30"/>
          <w:highlight w:val="none"/>
          <w14:textFill>
            <w14:solidFill>
              <w14:schemeClr w14:val="tx1"/>
            </w14:solidFill>
          </w14:textFill>
        </w:rPr>
        <w:t>乙方</w:t>
      </w:r>
      <w:r>
        <w:rPr>
          <w:rFonts w:ascii="宋体" w:hAnsi="宋体"/>
          <w:color w:val="000000" w:themeColor="text1"/>
          <w:sz w:val="30"/>
          <w:szCs w:val="30"/>
          <w:highlight w:val="none"/>
          <w14:textFill>
            <w14:solidFill>
              <w14:schemeClr w14:val="tx1"/>
            </w14:solidFill>
          </w14:textFill>
        </w:rPr>
        <w:t>擅自</w:t>
      </w:r>
      <w:r>
        <w:rPr>
          <w:rFonts w:hint="eastAsia" w:ascii="宋体" w:hAnsi="宋体"/>
          <w:color w:val="000000" w:themeColor="text1"/>
          <w:sz w:val="30"/>
          <w:szCs w:val="30"/>
          <w:highlight w:val="none"/>
          <w14:textFill>
            <w14:solidFill>
              <w14:schemeClr w14:val="tx1"/>
            </w14:solidFill>
          </w14:textFill>
        </w:rPr>
        <w:t>更改</w:t>
      </w:r>
      <w:r>
        <w:rPr>
          <w:rFonts w:ascii="宋体" w:hAnsi="宋体"/>
          <w:color w:val="000000" w:themeColor="text1"/>
          <w:sz w:val="30"/>
          <w:szCs w:val="30"/>
          <w:highlight w:val="none"/>
          <w14:textFill>
            <w14:solidFill>
              <w14:schemeClr w14:val="tx1"/>
            </w14:solidFill>
          </w14:textFill>
        </w:rPr>
        <w:t>工作范围说明书中的内容，未和甲方协商，甲方有权</w:t>
      </w:r>
      <w:r>
        <w:rPr>
          <w:rFonts w:hint="eastAsia" w:ascii="宋体" w:hAnsi="宋体"/>
          <w:color w:val="000000" w:themeColor="text1"/>
          <w:sz w:val="30"/>
          <w:szCs w:val="30"/>
          <w:highlight w:val="none"/>
          <w14:textFill>
            <w14:solidFill>
              <w14:schemeClr w14:val="tx1"/>
            </w14:solidFill>
          </w14:textFill>
        </w:rPr>
        <w:t>追究</w:t>
      </w:r>
      <w:r>
        <w:rPr>
          <w:rFonts w:ascii="宋体" w:hAnsi="宋体"/>
          <w:color w:val="000000" w:themeColor="text1"/>
          <w:sz w:val="30"/>
          <w:szCs w:val="30"/>
          <w:highlight w:val="none"/>
          <w14:textFill>
            <w14:solidFill>
              <w14:schemeClr w14:val="tx1"/>
            </w14:solidFill>
          </w14:textFill>
        </w:rPr>
        <w:t>乙方的经济</w:t>
      </w:r>
      <w:r>
        <w:rPr>
          <w:rFonts w:hint="eastAsia" w:ascii="宋体" w:hAnsi="宋体"/>
          <w:color w:val="000000" w:themeColor="text1"/>
          <w:sz w:val="30"/>
          <w:szCs w:val="30"/>
          <w:highlight w:val="none"/>
          <w14:textFill>
            <w14:solidFill>
              <w14:schemeClr w14:val="tx1"/>
            </w14:solidFill>
          </w14:textFill>
        </w:rPr>
        <w:t>赔偿。</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甲方</w:t>
      </w:r>
      <w:r>
        <w:rPr>
          <w:rFonts w:ascii="宋体" w:hAnsi="宋体"/>
          <w:color w:val="000000" w:themeColor="text1"/>
          <w:sz w:val="30"/>
          <w:szCs w:val="30"/>
          <w:highlight w:val="none"/>
          <w14:textFill>
            <w14:solidFill>
              <w14:schemeClr w14:val="tx1"/>
            </w14:solidFill>
          </w14:textFill>
        </w:rPr>
        <w:t>将根据</w:t>
      </w:r>
      <w:r>
        <w:rPr>
          <w:rFonts w:hint="eastAsia" w:ascii="宋体" w:hAnsi="宋体"/>
          <w:color w:val="000000" w:themeColor="text1"/>
          <w:sz w:val="30"/>
          <w:szCs w:val="30"/>
          <w:highlight w:val="none"/>
          <w14:textFill>
            <w14:solidFill>
              <w14:schemeClr w14:val="tx1"/>
            </w14:solidFill>
          </w14:textFill>
        </w:rPr>
        <w:t>附件</w:t>
      </w:r>
      <w:r>
        <w:rPr>
          <w:rFonts w:ascii="宋体" w:hAnsi="宋体"/>
          <w:color w:val="000000" w:themeColor="text1"/>
          <w:sz w:val="30"/>
          <w:szCs w:val="30"/>
          <w:highlight w:val="none"/>
          <w14:textFill>
            <w14:solidFill>
              <w14:schemeClr w14:val="tx1"/>
            </w14:solidFill>
          </w14:textFill>
        </w:rPr>
        <w:t>一</w:t>
      </w:r>
      <w:r>
        <w:rPr>
          <w:rFonts w:hint="eastAsia" w:ascii="宋体" w:hAnsi="宋体"/>
          <w:color w:val="000000" w:themeColor="text1"/>
          <w:sz w:val="30"/>
          <w:szCs w:val="30"/>
          <w:highlight w:val="none"/>
          <w14:textFill>
            <w14:solidFill>
              <w14:schemeClr w14:val="tx1"/>
            </w14:solidFill>
          </w14:textFill>
        </w:rPr>
        <w:t>的</w:t>
      </w:r>
      <w:r>
        <w:rPr>
          <w:rFonts w:ascii="宋体" w:hAnsi="宋体"/>
          <w:color w:val="000000" w:themeColor="text1"/>
          <w:sz w:val="30"/>
          <w:szCs w:val="30"/>
          <w:highlight w:val="none"/>
          <w14:textFill>
            <w14:solidFill>
              <w14:schemeClr w14:val="tx1"/>
            </w14:solidFill>
          </w14:textFill>
        </w:rPr>
        <w:t>项目交付物及本合同的</w:t>
      </w:r>
      <w:r>
        <w:rPr>
          <w:rFonts w:hint="eastAsia" w:ascii="宋体" w:hAnsi="宋体"/>
          <w:color w:val="000000" w:themeColor="text1"/>
          <w:sz w:val="30"/>
          <w:szCs w:val="30"/>
          <w:highlight w:val="none"/>
          <w14:textFill>
            <w14:solidFill>
              <w14:schemeClr w14:val="tx1"/>
            </w14:solidFill>
          </w14:textFill>
        </w:rPr>
        <w:t>服务</w:t>
      </w:r>
      <w:r>
        <w:rPr>
          <w:rFonts w:ascii="宋体" w:hAnsi="宋体"/>
          <w:color w:val="000000" w:themeColor="text1"/>
          <w:sz w:val="30"/>
          <w:szCs w:val="30"/>
          <w:highlight w:val="none"/>
          <w14:textFill>
            <w14:solidFill>
              <w14:schemeClr w14:val="tx1"/>
            </w14:solidFill>
          </w14:textFill>
        </w:rPr>
        <w:t>质量要求对乙方的项目成果进行现场验收</w:t>
      </w:r>
      <w:r>
        <w:rPr>
          <w:rFonts w:hint="eastAsia" w:ascii="宋体" w:hAnsi="宋体"/>
          <w:color w:val="000000" w:themeColor="text1"/>
          <w:sz w:val="30"/>
          <w:szCs w:val="30"/>
          <w:highlight w:val="none"/>
          <w14:textFill>
            <w14:solidFill>
              <w14:schemeClr w14:val="tx1"/>
            </w14:solidFill>
          </w14:textFill>
        </w:rPr>
        <w:t>。</w:t>
      </w:r>
    </w:p>
    <w:p>
      <w:pPr>
        <w:pStyle w:val="2"/>
        <w:ind w:firstLine="723"/>
        <w:jc w:val="center"/>
        <w:rPr>
          <w:rFonts w:ascii="宋体" w:hAnsi="宋体"/>
          <w:color w:val="000000" w:themeColor="text1"/>
          <w:sz w:val="36"/>
          <w:szCs w:val="32"/>
          <w:highlight w:val="none"/>
          <w14:textFill>
            <w14:solidFill>
              <w14:schemeClr w14:val="tx1"/>
            </w14:solidFill>
          </w14:textFill>
        </w:rPr>
      </w:pPr>
      <w:bookmarkStart w:id="140" w:name="_Toc428202491"/>
      <w:r>
        <w:rPr>
          <w:rFonts w:hint="eastAsia" w:ascii="宋体" w:hAnsi="宋体"/>
          <w:color w:val="000000" w:themeColor="text1"/>
          <w:sz w:val="36"/>
          <w:szCs w:val="32"/>
          <w:highlight w:val="none"/>
          <w14:textFill>
            <w14:solidFill>
              <w14:schemeClr w14:val="tx1"/>
            </w14:solidFill>
          </w14:textFill>
        </w:rPr>
        <w:t>第</w:t>
      </w:r>
      <w:r>
        <w:rPr>
          <w:rFonts w:ascii="宋体" w:hAnsi="宋体"/>
          <w:color w:val="000000" w:themeColor="text1"/>
          <w:sz w:val="36"/>
          <w:szCs w:val="32"/>
          <w:highlight w:val="none"/>
          <w14:textFill>
            <w14:solidFill>
              <w14:schemeClr w14:val="tx1"/>
            </w14:solidFill>
          </w14:textFill>
        </w:rPr>
        <w:t>七章</w:t>
      </w:r>
      <w:r>
        <w:rPr>
          <w:rFonts w:hint="eastAsia" w:ascii="宋体" w:hAnsi="宋体"/>
          <w:color w:val="000000" w:themeColor="text1"/>
          <w:sz w:val="36"/>
          <w:szCs w:val="32"/>
          <w:highlight w:val="none"/>
          <w14:textFill>
            <w14:solidFill>
              <w14:schemeClr w14:val="tx1"/>
            </w14:solidFill>
          </w14:textFill>
        </w:rPr>
        <w:t>服务</w:t>
      </w:r>
      <w:r>
        <w:rPr>
          <w:rFonts w:ascii="宋体" w:hAnsi="宋体"/>
          <w:color w:val="000000" w:themeColor="text1"/>
          <w:sz w:val="36"/>
          <w:szCs w:val="32"/>
          <w:highlight w:val="none"/>
          <w14:textFill>
            <w14:solidFill>
              <w14:schemeClr w14:val="tx1"/>
            </w14:solidFill>
          </w14:textFill>
        </w:rPr>
        <w:t>质量要求</w:t>
      </w:r>
      <w:bookmarkEnd w:id="140"/>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乙方保证其交付的开发软件产品的所有内容与功能符合招标文件需求。乙方保证在本合同项下提供给甲方的开发软件符合软件工程要求和有关软件技术标准，符合甲方提前告知的质量体系要求，并且不会对甲方的系统造成损害。</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乙方保证在本合同项下提供给甲方的应用系统源代码（包括表现层和数据层源代码及业务层相关接口支持、二次开发和报表的全部源代码）和技术文档符合甲方提前告知的规范要求。乙方保证开发软件产品不含有或携带软件病毒、后门等危害和妨碍甲方系统及软件运行的程序和内容,开发并提供给甲方的软件产品是安全的、适用的，如出现软件中存在安全漏洞或其他缺陷导致甲方损失（其中包括甲方因使用该软件而对第三人承担赔偿责任而导致的损失），乙方承担相应的赔偿责任。</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乙方保证在本合同项下提供给甲方的应用系统具有良好的可维护性。</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乙方</w:t>
      </w:r>
      <w:r>
        <w:rPr>
          <w:rFonts w:ascii="宋体" w:hAnsi="宋体"/>
          <w:color w:val="000000" w:themeColor="text1"/>
          <w:sz w:val="30"/>
          <w:szCs w:val="30"/>
          <w:highlight w:val="none"/>
          <w14:textFill>
            <w14:solidFill>
              <w14:schemeClr w14:val="tx1"/>
            </w14:solidFill>
          </w14:textFill>
        </w:rPr>
        <w:t>需严格按照</w:t>
      </w:r>
      <w:r>
        <w:rPr>
          <w:rFonts w:hint="eastAsia" w:ascii="宋体" w:hAnsi="宋体"/>
          <w:color w:val="000000" w:themeColor="text1"/>
          <w:sz w:val="30"/>
          <w:szCs w:val="30"/>
          <w:highlight w:val="none"/>
          <w14:textFill>
            <w14:solidFill>
              <w14:schemeClr w14:val="tx1"/>
            </w14:solidFill>
          </w14:textFill>
        </w:rPr>
        <w:t>甲方</w:t>
      </w:r>
      <w:r>
        <w:rPr>
          <w:rFonts w:ascii="宋体" w:hAnsi="宋体"/>
          <w:color w:val="000000" w:themeColor="text1"/>
          <w:sz w:val="30"/>
          <w:szCs w:val="30"/>
          <w:highlight w:val="none"/>
          <w14:textFill>
            <w14:solidFill>
              <w14:schemeClr w14:val="tx1"/>
            </w14:solidFill>
          </w14:textFill>
        </w:rPr>
        <w:t>的开发流程</w:t>
      </w:r>
      <w:r>
        <w:rPr>
          <w:rFonts w:hint="eastAsia" w:ascii="宋体" w:hAnsi="宋体"/>
          <w:color w:val="000000" w:themeColor="text1"/>
          <w:sz w:val="30"/>
          <w:szCs w:val="30"/>
          <w:highlight w:val="none"/>
          <w14:textFill>
            <w14:solidFill>
              <w14:schemeClr w14:val="tx1"/>
            </w14:solidFill>
          </w14:textFill>
        </w:rPr>
        <w:t>指导</w:t>
      </w:r>
      <w:r>
        <w:rPr>
          <w:rFonts w:ascii="宋体" w:hAnsi="宋体"/>
          <w:color w:val="000000" w:themeColor="text1"/>
          <w:sz w:val="30"/>
          <w:szCs w:val="30"/>
          <w:highlight w:val="none"/>
          <w14:textFill>
            <w14:solidFill>
              <w14:schemeClr w14:val="tx1"/>
            </w14:solidFill>
          </w14:textFill>
        </w:rPr>
        <w:t>项目实施</w:t>
      </w:r>
      <w:r>
        <w:rPr>
          <w:rFonts w:hint="eastAsia" w:ascii="宋体" w:hAnsi="宋体"/>
          <w:color w:val="000000" w:themeColor="text1"/>
          <w:sz w:val="30"/>
          <w:szCs w:val="30"/>
          <w:highlight w:val="none"/>
          <w14:textFill>
            <w14:solidFill>
              <w14:schemeClr w14:val="tx1"/>
            </w14:solidFill>
          </w14:textFill>
        </w:rPr>
        <w:t>，乙方</w:t>
      </w:r>
      <w:r>
        <w:rPr>
          <w:rFonts w:ascii="宋体" w:hAnsi="宋体"/>
          <w:color w:val="000000" w:themeColor="text1"/>
          <w:sz w:val="30"/>
          <w:szCs w:val="30"/>
          <w:highlight w:val="none"/>
          <w14:textFill>
            <w14:solidFill>
              <w14:schemeClr w14:val="tx1"/>
            </w14:solidFill>
          </w14:textFill>
        </w:rPr>
        <w:t>所提供</w:t>
      </w:r>
      <w:r>
        <w:rPr>
          <w:rFonts w:hint="eastAsia" w:ascii="宋体" w:hAnsi="宋体"/>
          <w:color w:val="000000" w:themeColor="text1"/>
          <w:sz w:val="30"/>
          <w:szCs w:val="30"/>
          <w:highlight w:val="none"/>
          <w14:textFill>
            <w14:solidFill>
              <w14:schemeClr w14:val="tx1"/>
            </w14:solidFill>
          </w14:textFill>
        </w:rPr>
        <w:t>交付物的审核</w:t>
      </w:r>
      <w:r>
        <w:rPr>
          <w:rFonts w:ascii="宋体" w:hAnsi="宋体"/>
          <w:color w:val="000000" w:themeColor="text1"/>
          <w:sz w:val="30"/>
          <w:szCs w:val="30"/>
          <w:highlight w:val="none"/>
          <w14:textFill>
            <w14:solidFill>
              <w14:schemeClr w14:val="tx1"/>
            </w14:solidFill>
          </w14:textFill>
        </w:rPr>
        <w:t>结果将作为</w:t>
      </w:r>
      <w:r>
        <w:rPr>
          <w:rFonts w:hint="eastAsia" w:ascii="宋体" w:hAnsi="宋体"/>
          <w:color w:val="000000" w:themeColor="text1"/>
          <w:sz w:val="30"/>
          <w:szCs w:val="30"/>
          <w:highlight w:val="none"/>
          <w14:textFill>
            <w14:solidFill>
              <w14:schemeClr w14:val="tx1"/>
            </w14:solidFill>
          </w14:textFill>
        </w:rPr>
        <w:t>验收付款条件，具体</w:t>
      </w:r>
      <w:r>
        <w:rPr>
          <w:rFonts w:ascii="宋体" w:hAnsi="宋体"/>
          <w:color w:val="000000" w:themeColor="text1"/>
          <w:sz w:val="30"/>
          <w:szCs w:val="30"/>
          <w:highlight w:val="none"/>
          <w14:textFill>
            <w14:solidFill>
              <w14:schemeClr w14:val="tx1"/>
            </w14:solidFill>
          </w14:textFill>
        </w:rPr>
        <w:t>要求如下：</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1.</w:t>
      </w:r>
      <w:r>
        <w:rPr>
          <w:rFonts w:hint="eastAsia" w:ascii="宋体" w:hAnsi="宋体"/>
          <w:color w:val="000000" w:themeColor="text1"/>
          <w:sz w:val="30"/>
          <w:szCs w:val="30"/>
          <w:highlight w:val="none"/>
          <w14:textFill>
            <w14:solidFill>
              <w14:schemeClr w14:val="tx1"/>
            </w14:solidFill>
          </w14:textFill>
        </w:rPr>
        <w:t>开发文档，乙方需要在相应阶段提供的项目文档包括：</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（一</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系统</w:t>
      </w:r>
      <w:r>
        <w:rPr>
          <w:rFonts w:ascii="宋体" w:hAnsi="宋体"/>
          <w:color w:val="000000" w:themeColor="text1"/>
          <w:sz w:val="30"/>
          <w:szCs w:val="30"/>
          <w:highlight w:val="none"/>
          <w14:textFill>
            <w14:solidFill>
              <w14:schemeClr w14:val="tx1"/>
            </w14:solidFill>
          </w14:textFill>
        </w:rPr>
        <w:t>需求分析阶段：《</w:t>
      </w:r>
      <w:r>
        <w:rPr>
          <w:rFonts w:hint="eastAsia" w:ascii="宋体" w:hAnsi="宋体"/>
          <w:color w:val="000000" w:themeColor="text1"/>
          <w:sz w:val="30"/>
          <w:szCs w:val="30"/>
          <w:highlight w:val="none"/>
          <w14:textFill>
            <w14:solidFill>
              <w14:schemeClr w14:val="tx1"/>
            </w14:solidFill>
          </w14:textFill>
        </w:rPr>
        <w:t>需求规格</w:t>
      </w:r>
      <w:r>
        <w:rPr>
          <w:rFonts w:ascii="宋体" w:hAnsi="宋体"/>
          <w:color w:val="000000" w:themeColor="text1"/>
          <w:sz w:val="30"/>
          <w:szCs w:val="30"/>
          <w:highlight w:val="none"/>
          <w14:textFill>
            <w14:solidFill>
              <w14:schemeClr w14:val="tx1"/>
            </w14:solidFill>
          </w14:textFill>
        </w:rPr>
        <w:t>说明书》</w:t>
      </w:r>
      <w:r>
        <w:rPr>
          <w:rFonts w:hint="eastAsia" w:ascii="宋体" w:hAnsi="宋体"/>
          <w:color w:val="000000" w:themeColor="text1"/>
          <w:sz w:val="30"/>
          <w:szCs w:val="30"/>
          <w:highlight w:val="none"/>
          <w14:textFill>
            <w14:solidFill>
              <w14:schemeClr w14:val="tx1"/>
            </w14:solidFill>
          </w14:textFill>
        </w:rPr>
        <w:t>，《技术方案建议书》；</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（二</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系统</w:t>
      </w:r>
      <w:r>
        <w:rPr>
          <w:rFonts w:ascii="宋体" w:hAnsi="宋体"/>
          <w:color w:val="000000" w:themeColor="text1"/>
          <w:sz w:val="30"/>
          <w:szCs w:val="30"/>
          <w:highlight w:val="none"/>
          <w14:textFill>
            <w14:solidFill>
              <w14:schemeClr w14:val="tx1"/>
            </w14:solidFill>
          </w14:textFill>
        </w:rPr>
        <w:t>设计阶段：《</w:t>
      </w:r>
      <w:r>
        <w:rPr>
          <w:rFonts w:hint="eastAsia" w:ascii="宋体" w:hAnsi="宋体"/>
          <w:color w:val="000000" w:themeColor="text1"/>
          <w:sz w:val="30"/>
          <w:szCs w:val="30"/>
          <w:highlight w:val="none"/>
          <w14:textFill>
            <w14:solidFill>
              <w14:schemeClr w14:val="tx1"/>
            </w14:solidFill>
          </w14:textFill>
        </w:rPr>
        <w:t>概要设计说明书》、《详细设计说明书》、《数据库设计说明书</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、《数据字典</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系统</w:t>
      </w:r>
      <w:r>
        <w:rPr>
          <w:rFonts w:ascii="宋体" w:hAnsi="宋体"/>
          <w:color w:val="000000" w:themeColor="text1"/>
          <w:sz w:val="30"/>
          <w:szCs w:val="30"/>
          <w:highlight w:val="none"/>
          <w14:textFill>
            <w14:solidFill>
              <w14:schemeClr w14:val="tx1"/>
            </w14:solidFill>
          </w14:textFill>
        </w:rPr>
        <w:t>安全</w:t>
      </w:r>
      <w:r>
        <w:rPr>
          <w:rFonts w:hint="eastAsia" w:ascii="宋体" w:hAnsi="宋体"/>
          <w:color w:val="000000" w:themeColor="text1"/>
          <w:sz w:val="30"/>
          <w:szCs w:val="30"/>
          <w:highlight w:val="none"/>
          <w14:textFill>
            <w14:solidFill>
              <w14:schemeClr w14:val="tx1"/>
            </w14:solidFill>
          </w14:textFill>
        </w:rPr>
        <w:t>设计方案</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（三</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系统开发</w:t>
      </w:r>
      <w:r>
        <w:rPr>
          <w:rFonts w:ascii="宋体" w:hAnsi="宋体"/>
          <w:color w:val="000000" w:themeColor="text1"/>
          <w:sz w:val="30"/>
          <w:szCs w:val="30"/>
          <w:highlight w:val="none"/>
          <w14:textFill>
            <w14:solidFill>
              <w14:schemeClr w14:val="tx1"/>
            </w14:solidFill>
          </w14:textFill>
        </w:rPr>
        <w:t>阶段：《</w:t>
      </w:r>
      <w:r>
        <w:rPr>
          <w:rFonts w:hint="eastAsia" w:ascii="宋体" w:hAnsi="宋体"/>
          <w:color w:val="000000" w:themeColor="text1"/>
          <w:sz w:val="30"/>
          <w:szCs w:val="30"/>
          <w:highlight w:val="none"/>
          <w14:textFill>
            <w14:solidFill>
              <w14:schemeClr w14:val="tx1"/>
            </w14:solidFill>
          </w14:textFill>
        </w:rPr>
        <w:t>总体</w:t>
      </w:r>
      <w:r>
        <w:rPr>
          <w:rFonts w:ascii="宋体" w:hAnsi="宋体"/>
          <w:color w:val="000000" w:themeColor="text1"/>
          <w:sz w:val="30"/>
          <w:szCs w:val="30"/>
          <w:highlight w:val="none"/>
          <w14:textFill>
            <w14:solidFill>
              <w14:schemeClr w14:val="tx1"/>
            </w14:solidFill>
          </w14:textFill>
        </w:rPr>
        <w:t>开发方案</w:t>
      </w:r>
      <w:r>
        <w:rPr>
          <w:rFonts w:hint="eastAsia" w:ascii="宋体" w:hAnsi="宋体"/>
          <w:color w:val="000000" w:themeColor="text1"/>
          <w:sz w:val="30"/>
          <w:szCs w:val="30"/>
          <w:highlight w:val="none"/>
          <w14:textFill>
            <w14:solidFill>
              <w14:schemeClr w14:val="tx1"/>
            </w14:solidFill>
          </w14:textFill>
        </w:rPr>
        <w:t>》和</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总体</w:t>
      </w:r>
      <w:r>
        <w:rPr>
          <w:rFonts w:ascii="宋体" w:hAnsi="宋体"/>
          <w:color w:val="000000" w:themeColor="text1"/>
          <w:sz w:val="30"/>
          <w:szCs w:val="30"/>
          <w:highlight w:val="none"/>
          <w14:textFill>
            <w14:solidFill>
              <w14:schemeClr w14:val="tx1"/>
            </w14:solidFill>
          </w14:textFill>
        </w:rPr>
        <w:t>开发计划》</w:t>
      </w:r>
      <w:r>
        <w:rPr>
          <w:rFonts w:hint="eastAsia" w:ascii="宋体" w:hAnsi="宋体"/>
          <w:color w:val="000000" w:themeColor="text1"/>
          <w:sz w:val="30"/>
          <w:szCs w:val="30"/>
          <w:highlight w:val="none"/>
          <w14:textFill>
            <w14:solidFill>
              <w14:schemeClr w14:val="tx1"/>
            </w14:solidFill>
          </w14:textFill>
        </w:rPr>
        <w:t>；</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（四</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系统</w:t>
      </w:r>
      <w:r>
        <w:rPr>
          <w:rFonts w:ascii="宋体" w:hAnsi="宋体"/>
          <w:color w:val="000000" w:themeColor="text1"/>
          <w:sz w:val="30"/>
          <w:szCs w:val="30"/>
          <w:highlight w:val="none"/>
          <w14:textFill>
            <w14:solidFill>
              <w14:schemeClr w14:val="tx1"/>
            </w14:solidFill>
          </w14:textFill>
        </w:rPr>
        <w:t>上线阶段：</w:t>
      </w:r>
      <w:r>
        <w:rPr>
          <w:rFonts w:hint="eastAsia" w:ascii="宋体" w:hAnsi="宋体"/>
          <w:color w:val="000000" w:themeColor="text1"/>
          <w:sz w:val="30"/>
          <w:szCs w:val="30"/>
          <w:highlight w:val="none"/>
          <w14:textFill>
            <w14:solidFill>
              <w14:schemeClr w14:val="tx1"/>
            </w14:solidFill>
          </w14:textFill>
        </w:rPr>
        <w:t>《用户手册》、《维护手册》、《上线实施方案》、《上线应急方案》；</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（五</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系统</w:t>
      </w:r>
      <w:r>
        <w:rPr>
          <w:rFonts w:ascii="宋体" w:hAnsi="宋体"/>
          <w:color w:val="000000" w:themeColor="text1"/>
          <w:sz w:val="30"/>
          <w:szCs w:val="30"/>
          <w:highlight w:val="none"/>
          <w14:textFill>
            <w14:solidFill>
              <w14:schemeClr w14:val="tx1"/>
            </w14:solidFill>
          </w14:textFill>
        </w:rPr>
        <w:t>运维阶段：</w:t>
      </w:r>
      <w:r>
        <w:rPr>
          <w:rFonts w:hint="eastAsia" w:ascii="宋体" w:hAnsi="宋体"/>
          <w:color w:val="000000" w:themeColor="text1"/>
          <w:sz w:val="30"/>
          <w:szCs w:val="30"/>
          <w:highlight w:val="none"/>
          <w14:textFill>
            <w14:solidFill>
              <w14:schemeClr w14:val="tx1"/>
            </w14:solidFill>
          </w14:textFill>
        </w:rPr>
        <w:t>《系统</w:t>
      </w:r>
      <w:r>
        <w:rPr>
          <w:rFonts w:ascii="宋体" w:hAnsi="宋体"/>
          <w:color w:val="000000" w:themeColor="text1"/>
          <w:sz w:val="30"/>
          <w:szCs w:val="30"/>
          <w:highlight w:val="none"/>
          <w14:textFill>
            <w14:solidFill>
              <w14:schemeClr w14:val="tx1"/>
            </w14:solidFill>
          </w14:textFill>
        </w:rPr>
        <w:t>使用培训</w:t>
      </w:r>
      <w:r>
        <w:rPr>
          <w:rFonts w:hint="eastAsia" w:ascii="宋体" w:hAnsi="宋体"/>
          <w:color w:val="000000" w:themeColor="text1"/>
          <w:sz w:val="30"/>
          <w:szCs w:val="30"/>
          <w:highlight w:val="none"/>
          <w14:textFill>
            <w14:solidFill>
              <w14:schemeClr w14:val="tx1"/>
            </w14:solidFill>
          </w14:textFill>
        </w:rPr>
        <w:t>课件》、《二次开发培训课件</w:t>
      </w:r>
      <w:r>
        <w:rPr>
          <w:rFonts w:ascii="宋体" w:hAnsi="宋体"/>
          <w:color w:val="000000" w:themeColor="text1"/>
          <w:sz w:val="30"/>
          <w:szCs w:val="30"/>
          <w:highlight w:val="none"/>
          <w14:textFill>
            <w14:solidFill>
              <w14:schemeClr w14:val="tx1"/>
            </w14:solidFill>
          </w14:textFill>
        </w:rPr>
        <w:t>》；</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（六</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文档模板由甲方提供，文档质量由甲方认可，认可结果作为验收付款条件。</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w:t>
      </w:r>
      <w:r>
        <w:rPr>
          <w:rFonts w:hint="eastAsia" w:ascii="宋体" w:hAnsi="宋体"/>
          <w:color w:val="000000" w:themeColor="text1"/>
          <w:sz w:val="30"/>
          <w:szCs w:val="30"/>
          <w:highlight w:val="none"/>
          <w14:textFill>
            <w14:solidFill>
              <w14:schemeClr w14:val="tx1"/>
            </w14:solidFill>
          </w14:textFill>
        </w:rPr>
        <w:t>系统源代码，项目结束后乙方提供本合同项下全部应用源代码，其中为甲方客户化部分源代码的知识产权归甲方所有；其余部分源代码的知识产权为乙方所有，甲方拥有本合同项下非转让的永久免费使用权。</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3.所有</w:t>
      </w:r>
      <w:r>
        <w:rPr>
          <w:rFonts w:ascii="宋体" w:hAnsi="宋体"/>
          <w:color w:val="000000" w:themeColor="text1"/>
          <w:sz w:val="30"/>
          <w:szCs w:val="30"/>
          <w:highlight w:val="none"/>
          <w14:textFill>
            <w14:solidFill>
              <w14:schemeClr w14:val="tx1"/>
            </w14:solidFill>
          </w14:textFill>
        </w:rPr>
        <w:t>项目文档</w:t>
      </w:r>
      <w:r>
        <w:rPr>
          <w:rFonts w:hint="eastAsia" w:ascii="宋体" w:hAnsi="宋体"/>
          <w:color w:val="000000" w:themeColor="text1"/>
          <w:sz w:val="30"/>
          <w:szCs w:val="30"/>
          <w:highlight w:val="none"/>
          <w14:textFill>
            <w14:solidFill>
              <w14:schemeClr w14:val="tx1"/>
            </w14:solidFill>
          </w14:textFill>
        </w:rPr>
        <w:t>需</w:t>
      </w:r>
      <w:r>
        <w:rPr>
          <w:rFonts w:ascii="宋体" w:hAnsi="宋体"/>
          <w:color w:val="000000" w:themeColor="text1"/>
          <w:sz w:val="30"/>
          <w:szCs w:val="30"/>
          <w:highlight w:val="none"/>
          <w14:textFill>
            <w14:solidFill>
              <w14:schemeClr w14:val="tx1"/>
            </w14:solidFill>
          </w14:textFill>
        </w:rPr>
        <w:t>能够结合</w:t>
      </w:r>
      <w:r>
        <w:rPr>
          <w:rFonts w:hint="eastAsia" w:ascii="宋体" w:hAnsi="宋体"/>
          <w:color w:val="000000" w:themeColor="text1"/>
          <w:sz w:val="30"/>
          <w:szCs w:val="30"/>
          <w:highlight w:val="none"/>
          <w14:textFill>
            <w14:solidFill>
              <w14:schemeClr w14:val="tx1"/>
            </w14:solidFill>
          </w14:textFill>
        </w:rPr>
        <w:t>甲方系统</w:t>
      </w:r>
      <w:r>
        <w:rPr>
          <w:rFonts w:ascii="宋体" w:hAnsi="宋体"/>
          <w:color w:val="000000" w:themeColor="text1"/>
          <w:sz w:val="30"/>
          <w:szCs w:val="30"/>
          <w:highlight w:val="none"/>
          <w14:textFill>
            <w14:solidFill>
              <w14:schemeClr w14:val="tx1"/>
            </w14:solidFill>
          </w14:textFill>
        </w:rPr>
        <w:t>建设的现状进行</w:t>
      </w:r>
      <w:r>
        <w:rPr>
          <w:rFonts w:hint="eastAsia" w:ascii="宋体" w:hAnsi="宋体"/>
          <w:color w:val="000000" w:themeColor="text1"/>
          <w:sz w:val="30"/>
          <w:szCs w:val="30"/>
          <w:highlight w:val="none"/>
          <w14:textFill>
            <w14:solidFill>
              <w14:schemeClr w14:val="tx1"/>
            </w14:solidFill>
          </w14:textFill>
        </w:rPr>
        <w:t>编写</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所</w:t>
      </w:r>
      <w:r>
        <w:rPr>
          <w:rFonts w:ascii="宋体" w:hAnsi="宋体"/>
          <w:color w:val="000000" w:themeColor="text1"/>
          <w:sz w:val="30"/>
          <w:szCs w:val="30"/>
          <w:highlight w:val="none"/>
          <w14:textFill>
            <w14:solidFill>
              <w14:schemeClr w14:val="tx1"/>
            </w14:solidFill>
          </w14:textFill>
        </w:rPr>
        <w:t>提供的文档内容、格式</w:t>
      </w:r>
      <w:r>
        <w:rPr>
          <w:rFonts w:hint="eastAsia" w:ascii="宋体" w:hAnsi="宋体"/>
          <w:color w:val="000000" w:themeColor="text1"/>
          <w:sz w:val="30"/>
          <w:szCs w:val="30"/>
          <w:highlight w:val="none"/>
          <w14:textFill>
            <w14:solidFill>
              <w14:schemeClr w14:val="tx1"/>
            </w14:solidFill>
          </w14:textFill>
        </w:rPr>
        <w:t>需</w:t>
      </w:r>
      <w:r>
        <w:rPr>
          <w:rFonts w:ascii="宋体" w:hAnsi="宋体"/>
          <w:color w:val="000000" w:themeColor="text1"/>
          <w:sz w:val="30"/>
          <w:szCs w:val="30"/>
          <w:highlight w:val="none"/>
          <w14:textFill>
            <w14:solidFill>
              <w14:schemeClr w14:val="tx1"/>
            </w14:solidFill>
          </w14:textFill>
        </w:rPr>
        <w:t>统一。</w:t>
      </w:r>
    </w:p>
    <w:p>
      <w:pPr>
        <w:pStyle w:val="2"/>
        <w:ind w:firstLine="723"/>
        <w:jc w:val="center"/>
        <w:rPr>
          <w:rFonts w:ascii="宋体" w:hAnsi="宋体"/>
          <w:color w:val="000000" w:themeColor="text1"/>
          <w:sz w:val="36"/>
          <w:szCs w:val="32"/>
          <w:highlight w:val="none"/>
          <w14:textFill>
            <w14:solidFill>
              <w14:schemeClr w14:val="tx1"/>
            </w14:solidFill>
          </w14:textFill>
        </w:rPr>
      </w:pPr>
      <w:bookmarkStart w:id="141" w:name="_Toc428202493"/>
      <w:r>
        <w:rPr>
          <w:rFonts w:hint="eastAsia" w:ascii="宋体" w:hAnsi="宋体"/>
          <w:color w:val="000000" w:themeColor="text1"/>
          <w:sz w:val="36"/>
          <w:szCs w:val="32"/>
          <w:highlight w:val="none"/>
          <w14:textFill>
            <w14:solidFill>
              <w14:schemeClr w14:val="tx1"/>
            </w14:solidFill>
          </w14:textFill>
        </w:rPr>
        <w:t>第八</w:t>
      </w:r>
      <w:r>
        <w:rPr>
          <w:rFonts w:ascii="宋体" w:hAnsi="宋体"/>
          <w:color w:val="000000" w:themeColor="text1"/>
          <w:sz w:val="36"/>
          <w:szCs w:val="32"/>
          <w:highlight w:val="none"/>
          <w14:textFill>
            <w14:solidFill>
              <w14:schemeClr w14:val="tx1"/>
            </w14:solidFill>
          </w14:textFill>
        </w:rPr>
        <w:t>章</w:t>
      </w:r>
      <w:r>
        <w:rPr>
          <w:rFonts w:hint="eastAsia" w:ascii="宋体" w:hAnsi="宋体"/>
          <w:color w:val="000000" w:themeColor="text1"/>
          <w:sz w:val="36"/>
          <w:szCs w:val="32"/>
          <w:highlight w:val="none"/>
          <w14:textFill>
            <w14:solidFill>
              <w14:schemeClr w14:val="tx1"/>
            </w14:solidFill>
          </w14:textFill>
        </w:rPr>
        <w:t>知识产权</w:t>
      </w:r>
      <w:r>
        <w:rPr>
          <w:rFonts w:ascii="宋体" w:hAnsi="宋体"/>
          <w:color w:val="000000" w:themeColor="text1"/>
          <w:sz w:val="36"/>
          <w:szCs w:val="32"/>
          <w:highlight w:val="none"/>
          <w14:textFill>
            <w14:solidFill>
              <w14:schemeClr w14:val="tx1"/>
            </w14:solidFill>
          </w14:textFill>
        </w:rPr>
        <w:t>保护</w:t>
      </w:r>
      <w:bookmarkEnd w:id="141"/>
    </w:p>
    <w:p>
      <w:pPr>
        <w:pStyle w:val="298"/>
        <w:numPr>
          <w:ilvl w:val="0"/>
          <w:numId w:val="16"/>
        </w:numPr>
        <w:ind w:left="0" w:firstLine="284"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版权、使用权、转让权的分属</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1</w:t>
      </w:r>
      <w:r>
        <w:rPr>
          <w:rFonts w:hint="eastAsia" w:ascii="宋体" w:hAnsi="宋体"/>
          <w:color w:val="000000" w:themeColor="text1"/>
          <w:sz w:val="30"/>
          <w:szCs w:val="30"/>
          <w:highlight w:val="none"/>
          <w14:textFill>
            <w14:solidFill>
              <w14:schemeClr w14:val="tx1"/>
            </w14:solidFill>
          </w14:textFill>
        </w:rPr>
        <w:t>7</w:t>
      </w:r>
      <w:r>
        <w:rPr>
          <w:rFonts w:ascii="宋体" w:hAnsi="宋体"/>
          <w:color w:val="000000" w:themeColor="text1"/>
          <w:sz w:val="30"/>
          <w:szCs w:val="30"/>
          <w:highlight w:val="none"/>
          <w14:textFill>
            <w14:solidFill>
              <w14:schemeClr w14:val="tx1"/>
            </w14:solidFill>
          </w14:textFill>
        </w:rPr>
        <w:t>.1</w:t>
      </w:r>
      <w:r>
        <w:rPr>
          <w:rFonts w:hint="eastAsia" w:ascii="宋体" w:hAnsi="宋体"/>
          <w:color w:val="000000" w:themeColor="text1"/>
          <w:sz w:val="30"/>
          <w:szCs w:val="30"/>
          <w:highlight w:val="none"/>
          <w14:textFill>
            <w14:solidFill>
              <w14:schemeClr w14:val="tx1"/>
            </w14:solidFill>
          </w14:textFill>
        </w:rPr>
        <w:t>甲方独享有本合同项下开发应用成果软件的所有知识产权，未经甲方许可，乙方不得以任何形式侵犯甲方的知识产权。</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1</w:t>
      </w:r>
      <w:r>
        <w:rPr>
          <w:rFonts w:hint="eastAsia" w:ascii="宋体" w:hAnsi="宋体"/>
          <w:color w:val="000000" w:themeColor="text1"/>
          <w:sz w:val="30"/>
          <w:szCs w:val="30"/>
          <w:highlight w:val="none"/>
          <w14:textFill>
            <w14:solidFill>
              <w14:schemeClr w14:val="tx1"/>
            </w14:solidFill>
          </w14:textFill>
        </w:rPr>
        <w:t>7</w:t>
      </w:r>
      <w:r>
        <w:rPr>
          <w:rFonts w:ascii="宋体" w:hAnsi="宋体"/>
          <w:color w:val="000000" w:themeColor="text1"/>
          <w:sz w:val="30"/>
          <w:szCs w:val="30"/>
          <w:highlight w:val="none"/>
          <w14:textFill>
            <w14:solidFill>
              <w14:schemeClr w14:val="tx1"/>
            </w14:solidFill>
          </w14:textFill>
        </w:rPr>
        <w:t xml:space="preserve">.2 </w:t>
      </w:r>
      <w:r>
        <w:rPr>
          <w:rFonts w:hint="eastAsia" w:ascii="宋体" w:hAnsi="宋体"/>
          <w:color w:val="000000" w:themeColor="text1"/>
          <w:sz w:val="30"/>
          <w:szCs w:val="30"/>
          <w:highlight w:val="none"/>
          <w14:textFill>
            <w14:solidFill>
              <w14:schemeClr w14:val="tx1"/>
            </w14:solidFill>
          </w14:textFill>
        </w:rPr>
        <w:t>乙方交给甲方的应用系统软件平台等系统所有源代码及相关技术文档，甲方可以在该源代码基础上进行开发，具体开发出的新系统和知识产权归属甲方。</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1</w:t>
      </w:r>
      <w:r>
        <w:rPr>
          <w:rFonts w:hint="eastAsia" w:ascii="宋体" w:hAnsi="宋体"/>
          <w:color w:val="000000" w:themeColor="text1"/>
          <w:sz w:val="30"/>
          <w:szCs w:val="30"/>
          <w:highlight w:val="none"/>
          <w14:textFill>
            <w14:solidFill>
              <w14:schemeClr w14:val="tx1"/>
            </w14:solidFill>
          </w14:textFill>
        </w:rPr>
        <w:t>7.3 乙方保证履行本合同中均不得侵犯任何合法知识产权，由于软件使用产生的一切知识产权纠纷责任均由乙方承担。该条款有效期不随合同的结束而终止。</w:t>
      </w:r>
      <w:r>
        <w:rPr>
          <w:rFonts w:ascii="宋体" w:hAnsi="宋体"/>
          <w:color w:val="000000" w:themeColor="text1"/>
          <w:sz w:val="30"/>
          <w:szCs w:val="30"/>
          <w:highlight w:val="none"/>
          <w14:textFill>
            <w14:solidFill>
              <w14:schemeClr w14:val="tx1"/>
            </w14:solidFill>
          </w14:textFill>
        </w:rPr>
        <w:t>因乙方提供的产品或服务导致甲方受到有关侵犯其专利权、商标权或著作权等知识产权的指控，由乙方负责与第三方交涉并承担一切法律责任与因此产生的所有费用。甲方因此而遭受损失的由乙方承担。</w:t>
      </w:r>
    </w:p>
    <w:p>
      <w:pPr>
        <w:pStyle w:val="2"/>
        <w:ind w:firstLine="723"/>
        <w:jc w:val="center"/>
        <w:rPr>
          <w:rFonts w:ascii="宋体" w:hAnsi="宋体"/>
          <w:color w:val="000000" w:themeColor="text1"/>
          <w:sz w:val="36"/>
          <w:szCs w:val="32"/>
          <w:highlight w:val="none"/>
          <w14:textFill>
            <w14:solidFill>
              <w14:schemeClr w14:val="tx1"/>
            </w14:solidFill>
          </w14:textFill>
        </w:rPr>
      </w:pPr>
      <w:bookmarkStart w:id="142" w:name="_Toc428202494"/>
      <w:r>
        <w:rPr>
          <w:rFonts w:hint="eastAsia" w:ascii="宋体" w:hAnsi="宋体"/>
          <w:color w:val="000000" w:themeColor="text1"/>
          <w:sz w:val="36"/>
          <w:szCs w:val="32"/>
          <w:highlight w:val="none"/>
          <w14:textFill>
            <w14:solidFill>
              <w14:schemeClr w14:val="tx1"/>
            </w14:solidFill>
          </w14:textFill>
        </w:rPr>
        <w:t>第九章 安全保密承诺</w:t>
      </w:r>
      <w:bookmarkEnd w:id="142"/>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甲乙双方在订立合同过程中知悉的商业秘密、版权、专利等，无论合同是否成立，不得泄露或者不正当地使用。泄露或者不正当地使用给对方造成损失的，应当承担损害赔偿责任。保密责任不因本合同履行完毕而解除。</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在本合同生效后，乙方因本项目而从甲方处获得的任何专属的或保密的信息和数据以及因本项目产生的任何信息和数据，除非以履行本合同为目的，不得向任何第三方披露或许可任何第三方使用该等保密信息，但根据中国有关法律的规定有义务进行披露的情形除外，在此情形发生前，乙方应当首先通知甲方该等法定披露的范围及所依据的有关法律规定。</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乙方应对本合同的内容保密，未经甲方书面同意，乙方不得将合同、合同附件、与合同有关的计划和项目书及资料等泄露给其他单位和个人。乙方依据本合同所实施的工作均以甲方的名义进行，如有违反，给甲方造成损失，乙方应承担赔偿责任，对此甲方有权解除合同。</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甲乙双方应当告知并以适当方式约束相关人员或公司、公司分支机构，在合同履行期内及合同目的达成后或人员离职后仍在保密期限内承担保密义务。如相关人员或公司、公司分支机构等泄露保密信息，违约方应承担违反保密义务的法律责任。</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乙方未按本合同约定使用保密信息或者泄露保密信息，甲方有权终止双方的合作项目并要求乙方赔偿损失；如乙方及其工作人员未按本合同约定使用保密信息或者泄露保密信息而触犯有关法律，甲方有权依法请求有关部门追究乙方的民事责任。</w:t>
      </w:r>
    </w:p>
    <w:p>
      <w:pPr>
        <w:pStyle w:val="2"/>
        <w:ind w:firstLine="723"/>
        <w:jc w:val="center"/>
        <w:rPr>
          <w:rFonts w:ascii="宋体" w:hAnsi="宋体"/>
          <w:b w:val="0"/>
          <w:color w:val="000000" w:themeColor="text1"/>
          <w:sz w:val="36"/>
          <w:szCs w:val="32"/>
          <w:highlight w:val="none"/>
          <w14:textFill>
            <w14:solidFill>
              <w14:schemeClr w14:val="tx1"/>
            </w14:solidFill>
          </w14:textFill>
        </w:rPr>
      </w:pPr>
      <w:bookmarkStart w:id="143" w:name="_Toc428202495"/>
      <w:r>
        <w:rPr>
          <w:rFonts w:hint="eastAsia" w:ascii="宋体" w:hAnsi="宋体"/>
          <w:color w:val="000000" w:themeColor="text1"/>
          <w:sz w:val="36"/>
          <w:szCs w:val="32"/>
          <w:highlight w:val="none"/>
          <w14:textFill>
            <w14:solidFill>
              <w14:schemeClr w14:val="tx1"/>
            </w14:solidFill>
          </w14:textFill>
        </w:rPr>
        <w:t>第十章  知识转移</w:t>
      </w:r>
      <w:r>
        <w:rPr>
          <w:rFonts w:ascii="宋体" w:hAnsi="宋体"/>
          <w:color w:val="000000" w:themeColor="text1"/>
          <w:sz w:val="36"/>
          <w:szCs w:val="32"/>
          <w:highlight w:val="none"/>
          <w14:textFill>
            <w14:solidFill>
              <w14:schemeClr w14:val="tx1"/>
            </w14:solidFill>
          </w14:textFill>
        </w:rPr>
        <w:t>及</w:t>
      </w:r>
      <w:r>
        <w:rPr>
          <w:rFonts w:hint="eastAsia" w:ascii="宋体" w:hAnsi="宋体"/>
          <w:color w:val="000000" w:themeColor="text1"/>
          <w:sz w:val="36"/>
          <w:szCs w:val="32"/>
          <w:highlight w:val="none"/>
          <w14:textFill>
            <w14:solidFill>
              <w14:schemeClr w14:val="tx1"/>
            </w14:solidFill>
          </w14:textFill>
        </w:rPr>
        <w:t>培训</w:t>
      </w:r>
      <w:bookmarkEnd w:id="143"/>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乙方</w:t>
      </w:r>
      <w:r>
        <w:rPr>
          <w:rFonts w:ascii="宋体" w:hAnsi="宋体"/>
          <w:color w:val="000000" w:themeColor="text1"/>
          <w:sz w:val="30"/>
          <w:szCs w:val="30"/>
          <w:highlight w:val="none"/>
          <w14:textFill>
            <w14:solidFill>
              <w14:schemeClr w14:val="tx1"/>
            </w14:solidFill>
          </w14:textFill>
        </w:rPr>
        <w:t>需在项目实现阶段组织</w:t>
      </w:r>
      <w:r>
        <w:rPr>
          <w:rFonts w:hint="eastAsia" w:ascii="宋体" w:hAnsi="宋体"/>
          <w:color w:val="000000" w:themeColor="text1"/>
          <w:sz w:val="30"/>
          <w:szCs w:val="30"/>
          <w:highlight w:val="none"/>
          <w14:textFill>
            <w14:solidFill>
              <w14:schemeClr w14:val="tx1"/>
            </w14:solidFill>
          </w14:textFill>
        </w:rPr>
        <w:t>甲方</w:t>
      </w:r>
      <w:r>
        <w:rPr>
          <w:rFonts w:ascii="宋体" w:hAnsi="宋体"/>
          <w:color w:val="000000" w:themeColor="text1"/>
          <w:sz w:val="30"/>
          <w:szCs w:val="30"/>
          <w:highlight w:val="none"/>
          <w14:textFill>
            <w14:solidFill>
              <w14:schemeClr w14:val="tx1"/>
            </w14:solidFill>
          </w14:textFill>
        </w:rPr>
        <w:t>参与人员进行培训。</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乙方需</w:t>
      </w:r>
      <w:r>
        <w:rPr>
          <w:rFonts w:ascii="宋体" w:hAnsi="宋体"/>
          <w:color w:val="000000" w:themeColor="text1"/>
          <w:sz w:val="30"/>
          <w:szCs w:val="30"/>
          <w:highlight w:val="none"/>
          <w14:textFill>
            <w14:solidFill>
              <w14:schemeClr w14:val="tx1"/>
            </w14:solidFill>
          </w14:textFill>
        </w:rPr>
        <w:t>在</w:t>
      </w:r>
      <w:r>
        <w:rPr>
          <w:rFonts w:hint="eastAsia" w:ascii="宋体" w:hAnsi="宋体"/>
          <w:color w:val="000000" w:themeColor="text1"/>
          <w:sz w:val="30"/>
          <w:szCs w:val="30"/>
          <w:highlight w:val="none"/>
          <w14:textFill>
            <w14:solidFill>
              <w14:schemeClr w14:val="tx1"/>
            </w14:solidFill>
          </w14:textFill>
        </w:rPr>
        <w:t>开发周期内通过阶段性培训、项目交付物、合作开发部分模块等方式完成培训。</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1.</w:t>
      </w:r>
      <w:r>
        <w:rPr>
          <w:rFonts w:hint="eastAsia" w:ascii="宋体" w:hAnsi="宋体"/>
          <w:color w:val="000000" w:themeColor="text1"/>
          <w:sz w:val="30"/>
          <w:szCs w:val="30"/>
          <w:highlight w:val="none"/>
          <w14:textFill>
            <w14:solidFill>
              <w14:schemeClr w14:val="tx1"/>
            </w14:solidFill>
          </w14:textFill>
        </w:rPr>
        <w:t>业务知识转移需求</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通过业务培训以提升甲方业务人员对系统功能的理解和运用。</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w:t>
      </w:r>
      <w:r>
        <w:rPr>
          <w:rFonts w:hint="eastAsia" w:ascii="宋体" w:hAnsi="宋体"/>
          <w:color w:val="000000" w:themeColor="text1"/>
          <w:sz w:val="30"/>
          <w:szCs w:val="30"/>
          <w:highlight w:val="none"/>
          <w14:textFill>
            <w14:solidFill>
              <w14:schemeClr w14:val="tx1"/>
            </w14:solidFill>
          </w14:textFill>
        </w:rPr>
        <w:t>运维知识转移需求</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通过培训甲方运维人员，使运维人员熟悉系统工作模式，数据结构和数据处理、流转原理，查看系统日志能初步判断出系统运行状况。</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3.</w:t>
      </w:r>
      <w:r>
        <w:rPr>
          <w:rFonts w:hint="eastAsia" w:ascii="宋体" w:hAnsi="宋体"/>
          <w:color w:val="000000" w:themeColor="text1"/>
          <w:sz w:val="30"/>
          <w:szCs w:val="30"/>
          <w:highlight w:val="none"/>
          <w14:textFill>
            <w14:solidFill>
              <w14:schemeClr w14:val="tx1"/>
            </w14:solidFill>
          </w14:textFill>
        </w:rPr>
        <w:t>技术知识转移需求</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通过培训甲方技术人员和关联业务系统开发人员，指导其完成各个业务系统的集成接入开发工作，使技术人员熟练掌握厂商集成开发工具，平台数据结构和数据处理、流转原理，达到独立二次开发的目的。</w:t>
      </w:r>
    </w:p>
    <w:p>
      <w:pPr>
        <w:pStyle w:val="2"/>
        <w:ind w:firstLine="723"/>
        <w:jc w:val="center"/>
        <w:rPr>
          <w:rFonts w:ascii="宋体" w:hAnsi="宋体"/>
          <w:b w:val="0"/>
          <w:color w:val="000000" w:themeColor="text1"/>
          <w:sz w:val="36"/>
          <w:szCs w:val="32"/>
          <w:highlight w:val="none"/>
          <w14:textFill>
            <w14:solidFill>
              <w14:schemeClr w14:val="tx1"/>
            </w14:solidFill>
          </w14:textFill>
        </w:rPr>
      </w:pPr>
      <w:bookmarkStart w:id="144" w:name="_Toc428202496"/>
      <w:r>
        <w:rPr>
          <w:rFonts w:hint="eastAsia" w:ascii="宋体" w:hAnsi="宋体"/>
          <w:color w:val="000000" w:themeColor="text1"/>
          <w:sz w:val="36"/>
          <w:szCs w:val="32"/>
          <w:highlight w:val="none"/>
          <w14:textFill>
            <w14:solidFill>
              <w14:schemeClr w14:val="tx1"/>
            </w14:solidFill>
          </w14:textFill>
        </w:rPr>
        <w:t>第十一章  服务水平</w:t>
      </w:r>
      <w:r>
        <w:rPr>
          <w:rFonts w:ascii="宋体" w:hAnsi="宋体"/>
          <w:color w:val="000000" w:themeColor="text1"/>
          <w:sz w:val="36"/>
          <w:szCs w:val="32"/>
          <w:highlight w:val="none"/>
          <w14:textFill>
            <w14:solidFill>
              <w14:schemeClr w14:val="tx1"/>
            </w14:solidFill>
          </w14:textFill>
        </w:rPr>
        <w:t>协议</w:t>
      </w:r>
      <w:bookmarkEnd w:id="144"/>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免费维护期为本合同项下的重庆银行_“监管统计报表系统”建设项目最终验收合格之日起连续的12个月，包含上线后至少2个人三个月的现场维护工作。</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免费维护期内，乙方对本合同项下的重庆银行“监管统计报表系统”建设项目提供（7*24小时）免费维护服务和相关的技术咨询，</w:t>
      </w:r>
      <w:r>
        <w:rPr>
          <w:rFonts w:ascii="宋体" w:hAnsi="宋体"/>
          <w:color w:val="000000" w:themeColor="text1"/>
          <w:sz w:val="30"/>
          <w:szCs w:val="30"/>
          <w:highlight w:val="none"/>
          <w14:textFill>
            <w14:solidFill>
              <w14:schemeClr w14:val="tx1"/>
            </w14:solidFill>
          </w14:textFill>
        </w:rPr>
        <w:t>服务标准应</w:t>
      </w:r>
      <w:r>
        <w:rPr>
          <w:rFonts w:hint="eastAsia" w:ascii="宋体" w:hAnsi="宋体"/>
          <w:color w:val="000000" w:themeColor="text1"/>
          <w:sz w:val="30"/>
          <w:szCs w:val="30"/>
          <w:highlight w:val="none"/>
          <w14:textFill>
            <w14:solidFill>
              <w14:schemeClr w14:val="tx1"/>
            </w14:solidFill>
          </w14:textFill>
        </w:rPr>
        <w:t>满足技术指标和参数的</w:t>
      </w:r>
      <w:r>
        <w:rPr>
          <w:rFonts w:ascii="宋体" w:hAnsi="宋体"/>
          <w:color w:val="000000" w:themeColor="text1"/>
          <w:sz w:val="30"/>
          <w:szCs w:val="30"/>
          <w:highlight w:val="none"/>
          <w14:textFill>
            <w14:solidFill>
              <w14:schemeClr w14:val="tx1"/>
            </w14:solidFill>
          </w14:textFill>
        </w:rPr>
        <w:t>要求，详细见</w:t>
      </w:r>
      <w:r>
        <w:rPr>
          <w:rFonts w:hint="eastAsia" w:ascii="宋体" w:hAnsi="宋体"/>
          <w:color w:val="000000" w:themeColor="text1"/>
          <w:sz w:val="30"/>
          <w:szCs w:val="30"/>
          <w:highlight w:val="none"/>
          <w14:textFill>
            <w14:solidFill>
              <w14:schemeClr w14:val="tx1"/>
            </w14:solidFill>
          </w14:textFill>
        </w:rPr>
        <w:t>附件二：《外包服务水平协议》。</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免费维护期内，乙方为甲方提供及时的故障排除服务。解决故障的方式包括电话、电子邮件和现场指导。在系统出现故障，且不能通过电话和电子邮件有效的解决问题时，乙方应及时派出有经验的技术人员到现场进行故障诊断，尽快排除故障，</w:t>
      </w:r>
      <w:r>
        <w:rPr>
          <w:rFonts w:ascii="宋体" w:hAnsi="宋体"/>
          <w:color w:val="000000" w:themeColor="text1"/>
          <w:sz w:val="30"/>
          <w:szCs w:val="30"/>
          <w:highlight w:val="none"/>
          <w14:textFill>
            <w14:solidFill>
              <w14:schemeClr w14:val="tx1"/>
            </w14:solidFill>
          </w14:textFill>
        </w:rPr>
        <w:t>乙方需</w:t>
      </w:r>
      <w:r>
        <w:rPr>
          <w:rFonts w:hint="eastAsia" w:ascii="宋体" w:hAnsi="宋体"/>
          <w:color w:val="000000" w:themeColor="text1"/>
          <w:sz w:val="30"/>
          <w:szCs w:val="30"/>
          <w:highlight w:val="none"/>
          <w14:textFill>
            <w14:solidFill>
              <w14:schemeClr w14:val="tx1"/>
            </w14:solidFill>
          </w14:textFill>
        </w:rPr>
        <w:t>提供现场</w:t>
      </w:r>
      <w:r>
        <w:rPr>
          <w:rFonts w:ascii="宋体" w:hAnsi="宋体"/>
          <w:color w:val="000000" w:themeColor="text1"/>
          <w:sz w:val="30"/>
          <w:szCs w:val="30"/>
          <w:highlight w:val="none"/>
          <w14:textFill>
            <w14:solidFill>
              <w14:schemeClr w14:val="tx1"/>
            </w14:solidFill>
          </w14:textFill>
        </w:rPr>
        <w:t>技术支持人员及联系方式</w:t>
      </w:r>
      <w:r>
        <w:rPr>
          <w:rFonts w:hint="eastAsia" w:ascii="宋体" w:hAnsi="宋体"/>
          <w:color w:val="000000" w:themeColor="text1"/>
          <w:sz w:val="30"/>
          <w:szCs w:val="30"/>
          <w:highlight w:val="none"/>
          <w14:textFill>
            <w14:solidFill>
              <w14:schemeClr w14:val="tx1"/>
            </w14:solidFill>
          </w14:textFill>
        </w:rPr>
        <w:t>。</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维护期内，乙方向甲方提供7*24小时电话支持、远程技术支持、现场故障解决等服务。系统本身的bug或者设计缺陷应有乙方无条件修复。</w:t>
      </w:r>
    </w:p>
    <w:p>
      <w:pPr>
        <w:pStyle w:val="2"/>
        <w:ind w:firstLine="723"/>
        <w:jc w:val="center"/>
        <w:rPr>
          <w:rFonts w:ascii="宋体" w:hAnsi="宋体"/>
          <w:color w:val="000000" w:themeColor="text1"/>
          <w:sz w:val="36"/>
          <w:szCs w:val="32"/>
          <w:highlight w:val="none"/>
          <w14:textFill>
            <w14:solidFill>
              <w14:schemeClr w14:val="tx1"/>
            </w14:solidFill>
          </w14:textFill>
        </w:rPr>
      </w:pPr>
      <w:bookmarkStart w:id="145" w:name="_Toc428202497"/>
      <w:r>
        <w:rPr>
          <w:rFonts w:hint="eastAsia" w:ascii="宋体" w:hAnsi="宋体"/>
          <w:color w:val="000000" w:themeColor="text1"/>
          <w:sz w:val="36"/>
          <w:szCs w:val="32"/>
          <w:highlight w:val="none"/>
          <w14:textFill>
            <w14:solidFill>
              <w14:schemeClr w14:val="tx1"/>
            </w14:solidFill>
          </w14:textFill>
        </w:rPr>
        <w:t>第十二章审计与</w:t>
      </w:r>
      <w:r>
        <w:rPr>
          <w:rFonts w:ascii="宋体" w:hAnsi="宋体"/>
          <w:color w:val="000000" w:themeColor="text1"/>
          <w:sz w:val="36"/>
          <w:szCs w:val="32"/>
          <w:highlight w:val="none"/>
          <w14:textFill>
            <w14:solidFill>
              <w14:schemeClr w14:val="tx1"/>
            </w14:solidFill>
          </w14:textFill>
        </w:rPr>
        <w:t>监督</w:t>
      </w:r>
      <w:bookmarkEnd w:id="145"/>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在本合同有效期内，</w:t>
      </w:r>
      <w:r>
        <w:rPr>
          <w:rFonts w:hint="eastAsia" w:ascii="宋体" w:hAnsi="宋体"/>
          <w:color w:val="000000" w:themeColor="text1"/>
          <w:sz w:val="30"/>
          <w:szCs w:val="30"/>
          <w:highlight w:val="none"/>
          <w14:textFill>
            <w14:solidFill>
              <w14:schemeClr w14:val="tx1"/>
            </w14:solidFill>
          </w14:textFill>
        </w:rPr>
        <w:t>甲方对乙方拥有审计监督的权力。</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在本合同有效期内，乙方</w:t>
      </w:r>
      <w:r>
        <w:rPr>
          <w:rFonts w:hint="eastAsia" w:ascii="宋体" w:hAnsi="宋体"/>
          <w:color w:val="000000" w:themeColor="text1"/>
          <w:sz w:val="30"/>
          <w:szCs w:val="30"/>
          <w:highlight w:val="none"/>
          <w14:textFill>
            <w14:solidFill>
              <w14:schemeClr w14:val="tx1"/>
            </w14:solidFill>
          </w14:textFill>
        </w:rPr>
        <w:t>承诺接受甲方或委托机构和银监机构对其服务活动进行监督和检查。</w:t>
      </w:r>
    </w:p>
    <w:p>
      <w:pPr>
        <w:pStyle w:val="2"/>
        <w:ind w:firstLine="723"/>
        <w:jc w:val="center"/>
        <w:rPr>
          <w:rFonts w:ascii="宋体" w:hAnsi="宋体"/>
          <w:color w:val="000000" w:themeColor="text1"/>
          <w:sz w:val="36"/>
          <w:szCs w:val="32"/>
          <w:highlight w:val="none"/>
          <w14:textFill>
            <w14:solidFill>
              <w14:schemeClr w14:val="tx1"/>
            </w14:solidFill>
          </w14:textFill>
        </w:rPr>
      </w:pPr>
      <w:bookmarkStart w:id="146" w:name="_Toc428202498"/>
      <w:r>
        <w:rPr>
          <w:rFonts w:hint="eastAsia" w:ascii="宋体" w:hAnsi="宋体"/>
          <w:color w:val="000000" w:themeColor="text1"/>
          <w:sz w:val="36"/>
          <w:szCs w:val="32"/>
          <w:highlight w:val="none"/>
          <w14:textFill>
            <w14:solidFill>
              <w14:schemeClr w14:val="tx1"/>
            </w14:solidFill>
          </w14:textFill>
        </w:rPr>
        <w:t>第十三章监管及合规遵从</w:t>
      </w:r>
      <w:bookmarkEnd w:id="146"/>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在本合同有效期内，</w:t>
      </w:r>
      <w:r>
        <w:rPr>
          <w:rFonts w:hint="eastAsia" w:ascii="宋体" w:hAnsi="宋体"/>
          <w:color w:val="000000" w:themeColor="text1"/>
          <w:sz w:val="30"/>
          <w:szCs w:val="30"/>
          <w:highlight w:val="none"/>
          <w14:textFill>
            <w14:solidFill>
              <w14:schemeClr w14:val="tx1"/>
            </w14:solidFill>
          </w14:textFill>
        </w:rPr>
        <w:t>乙方</w:t>
      </w:r>
      <w:r>
        <w:rPr>
          <w:rFonts w:ascii="宋体" w:hAnsi="宋体"/>
          <w:color w:val="000000" w:themeColor="text1"/>
          <w:sz w:val="30"/>
          <w:szCs w:val="30"/>
          <w:highlight w:val="none"/>
          <w14:textFill>
            <w14:solidFill>
              <w14:schemeClr w14:val="tx1"/>
            </w14:solidFill>
          </w14:textFill>
        </w:rPr>
        <w:t>所开发的系统需能够满足</w:t>
      </w:r>
      <w:r>
        <w:rPr>
          <w:rFonts w:hint="eastAsia" w:ascii="宋体" w:hAnsi="宋体"/>
          <w:color w:val="000000" w:themeColor="text1"/>
          <w:sz w:val="30"/>
          <w:szCs w:val="30"/>
          <w:highlight w:val="none"/>
          <w14:textFill>
            <w14:solidFill>
              <w14:schemeClr w14:val="tx1"/>
            </w14:solidFill>
          </w14:textFill>
        </w:rPr>
        <w:t>银监机构</w:t>
      </w:r>
      <w:r>
        <w:rPr>
          <w:rFonts w:ascii="宋体" w:hAnsi="宋体"/>
          <w:color w:val="000000" w:themeColor="text1"/>
          <w:sz w:val="30"/>
          <w:szCs w:val="30"/>
          <w:highlight w:val="none"/>
          <w14:textFill>
            <w14:solidFill>
              <w14:schemeClr w14:val="tx1"/>
            </w14:solidFill>
          </w14:textFill>
        </w:rPr>
        <w:t>对于此系统的安全</w:t>
      </w:r>
      <w:r>
        <w:rPr>
          <w:rFonts w:hint="eastAsia" w:ascii="宋体" w:hAnsi="宋体"/>
          <w:color w:val="000000" w:themeColor="text1"/>
          <w:sz w:val="30"/>
          <w:szCs w:val="30"/>
          <w:highlight w:val="none"/>
          <w14:textFill>
            <w14:solidFill>
              <w14:schemeClr w14:val="tx1"/>
            </w14:solidFill>
          </w14:textFill>
        </w:rPr>
        <w:t>与</w:t>
      </w:r>
      <w:r>
        <w:rPr>
          <w:rFonts w:ascii="宋体" w:hAnsi="宋体"/>
          <w:color w:val="000000" w:themeColor="text1"/>
          <w:sz w:val="30"/>
          <w:szCs w:val="30"/>
          <w:highlight w:val="none"/>
          <w14:textFill>
            <w14:solidFill>
              <w14:schemeClr w14:val="tx1"/>
            </w14:solidFill>
          </w14:textFill>
        </w:rPr>
        <w:t>合规要求，若不满足其要求，需</w:t>
      </w:r>
      <w:r>
        <w:rPr>
          <w:rFonts w:hint="eastAsia" w:ascii="宋体" w:hAnsi="宋体"/>
          <w:color w:val="000000" w:themeColor="text1"/>
          <w:sz w:val="30"/>
          <w:szCs w:val="30"/>
          <w:highlight w:val="none"/>
          <w14:textFill>
            <w14:solidFill>
              <w14:schemeClr w14:val="tx1"/>
            </w14:solidFill>
          </w14:textFill>
        </w:rPr>
        <w:t>按照第三方</w:t>
      </w:r>
      <w:r>
        <w:rPr>
          <w:rFonts w:ascii="宋体" w:hAnsi="宋体"/>
          <w:color w:val="000000" w:themeColor="text1"/>
          <w:sz w:val="30"/>
          <w:szCs w:val="30"/>
          <w:highlight w:val="none"/>
          <w14:textFill>
            <w14:solidFill>
              <w14:schemeClr w14:val="tx1"/>
            </w14:solidFill>
          </w14:textFill>
        </w:rPr>
        <w:t>安全评估</w:t>
      </w:r>
      <w:r>
        <w:rPr>
          <w:rFonts w:hint="eastAsia" w:ascii="宋体" w:hAnsi="宋体"/>
          <w:color w:val="000000" w:themeColor="text1"/>
          <w:sz w:val="30"/>
          <w:szCs w:val="30"/>
          <w:highlight w:val="none"/>
          <w14:textFill>
            <w14:solidFill>
              <w14:schemeClr w14:val="tx1"/>
            </w14:solidFill>
          </w14:textFill>
        </w:rPr>
        <w:t>机构</w:t>
      </w:r>
      <w:r>
        <w:rPr>
          <w:rFonts w:ascii="宋体" w:hAnsi="宋体"/>
          <w:color w:val="000000" w:themeColor="text1"/>
          <w:sz w:val="30"/>
          <w:szCs w:val="30"/>
          <w:highlight w:val="none"/>
          <w14:textFill>
            <w14:solidFill>
              <w14:schemeClr w14:val="tx1"/>
            </w14:solidFill>
          </w14:textFill>
        </w:rPr>
        <w:t>的要求</w:t>
      </w:r>
      <w:r>
        <w:rPr>
          <w:rFonts w:hint="eastAsia" w:ascii="宋体" w:hAnsi="宋体"/>
          <w:color w:val="000000" w:themeColor="text1"/>
          <w:sz w:val="30"/>
          <w:szCs w:val="30"/>
          <w:highlight w:val="none"/>
          <w14:textFill>
            <w14:solidFill>
              <w14:schemeClr w14:val="tx1"/>
            </w14:solidFill>
          </w14:textFill>
        </w:rPr>
        <w:t>辅助甲方</w:t>
      </w:r>
      <w:r>
        <w:rPr>
          <w:rFonts w:ascii="宋体" w:hAnsi="宋体"/>
          <w:color w:val="000000" w:themeColor="text1"/>
          <w:sz w:val="30"/>
          <w:szCs w:val="30"/>
          <w:highlight w:val="none"/>
          <w14:textFill>
            <w14:solidFill>
              <w14:schemeClr w14:val="tx1"/>
            </w14:solidFill>
          </w14:textFill>
        </w:rPr>
        <w:t>进行整改，直至满足合规</w:t>
      </w:r>
      <w:r>
        <w:rPr>
          <w:rFonts w:hint="eastAsia" w:ascii="宋体" w:hAnsi="宋体"/>
          <w:color w:val="000000" w:themeColor="text1"/>
          <w:sz w:val="30"/>
          <w:szCs w:val="30"/>
          <w:highlight w:val="none"/>
          <w14:textFill>
            <w14:solidFill>
              <w14:schemeClr w14:val="tx1"/>
            </w14:solidFill>
          </w14:textFill>
        </w:rPr>
        <w:t>要求</w:t>
      </w:r>
      <w:r>
        <w:rPr>
          <w:rFonts w:ascii="宋体" w:hAnsi="宋体"/>
          <w:color w:val="000000" w:themeColor="text1"/>
          <w:sz w:val="30"/>
          <w:szCs w:val="30"/>
          <w:highlight w:val="none"/>
          <w14:textFill>
            <w14:solidFill>
              <w14:schemeClr w14:val="tx1"/>
            </w14:solidFill>
          </w14:textFill>
        </w:rPr>
        <w:t>。</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在本合同有效期内，</w:t>
      </w:r>
      <w:r>
        <w:rPr>
          <w:rFonts w:hint="eastAsia" w:ascii="宋体" w:hAnsi="宋体"/>
          <w:color w:val="000000" w:themeColor="text1"/>
          <w:sz w:val="30"/>
          <w:szCs w:val="30"/>
          <w:highlight w:val="none"/>
          <w14:textFill>
            <w14:solidFill>
              <w14:schemeClr w14:val="tx1"/>
            </w14:solidFill>
          </w14:textFill>
        </w:rPr>
        <w:t>乙方</w:t>
      </w:r>
      <w:r>
        <w:rPr>
          <w:rFonts w:ascii="宋体" w:hAnsi="宋体"/>
          <w:color w:val="000000" w:themeColor="text1"/>
          <w:sz w:val="30"/>
          <w:szCs w:val="30"/>
          <w:highlight w:val="none"/>
          <w14:textFill>
            <w14:solidFill>
              <w14:schemeClr w14:val="tx1"/>
            </w14:solidFill>
          </w14:textFill>
        </w:rPr>
        <w:t>所开发的系统需能够满足</w:t>
      </w:r>
      <w:r>
        <w:rPr>
          <w:rFonts w:hint="eastAsia" w:ascii="宋体" w:hAnsi="宋体"/>
          <w:color w:val="000000" w:themeColor="text1"/>
          <w:sz w:val="30"/>
          <w:szCs w:val="30"/>
          <w:highlight w:val="none"/>
          <w14:textFill>
            <w14:solidFill>
              <w14:schemeClr w14:val="tx1"/>
            </w14:solidFill>
          </w14:textFill>
        </w:rPr>
        <w:t>银监机构</w:t>
      </w:r>
      <w:r>
        <w:rPr>
          <w:rFonts w:ascii="宋体" w:hAnsi="宋体"/>
          <w:color w:val="000000" w:themeColor="text1"/>
          <w:sz w:val="30"/>
          <w:szCs w:val="30"/>
          <w:highlight w:val="none"/>
          <w14:textFill>
            <w14:solidFill>
              <w14:schemeClr w14:val="tx1"/>
            </w14:solidFill>
          </w14:textFill>
        </w:rPr>
        <w:t>、行内</w:t>
      </w:r>
      <w:r>
        <w:rPr>
          <w:rFonts w:hint="eastAsia" w:ascii="宋体" w:hAnsi="宋体"/>
          <w:color w:val="000000" w:themeColor="text1"/>
          <w:sz w:val="30"/>
          <w:szCs w:val="30"/>
          <w:highlight w:val="none"/>
          <w14:textFill>
            <w14:solidFill>
              <w14:schemeClr w14:val="tx1"/>
            </w14:solidFill>
          </w14:textFill>
        </w:rPr>
        <w:t>审计</w:t>
      </w:r>
      <w:r>
        <w:rPr>
          <w:rFonts w:ascii="宋体" w:hAnsi="宋体"/>
          <w:color w:val="000000" w:themeColor="text1"/>
          <w:sz w:val="30"/>
          <w:szCs w:val="30"/>
          <w:highlight w:val="none"/>
          <w14:textFill>
            <w14:solidFill>
              <w14:schemeClr w14:val="tx1"/>
            </w14:solidFill>
          </w14:textFill>
        </w:rPr>
        <w:t>部门、合规部门</w:t>
      </w:r>
      <w:r>
        <w:rPr>
          <w:rFonts w:hint="eastAsia" w:ascii="宋体" w:hAnsi="宋体"/>
          <w:color w:val="000000" w:themeColor="text1"/>
          <w:sz w:val="30"/>
          <w:szCs w:val="30"/>
          <w:highlight w:val="none"/>
          <w14:textFill>
            <w14:solidFill>
              <w14:schemeClr w14:val="tx1"/>
            </w14:solidFill>
          </w14:textFill>
        </w:rPr>
        <w:t>对其</w:t>
      </w:r>
      <w:r>
        <w:rPr>
          <w:rFonts w:ascii="宋体" w:hAnsi="宋体"/>
          <w:color w:val="000000" w:themeColor="text1"/>
          <w:sz w:val="30"/>
          <w:szCs w:val="30"/>
          <w:highlight w:val="none"/>
          <w14:textFill>
            <w14:solidFill>
              <w14:schemeClr w14:val="tx1"/>
            </w14:solidFill>
          </w14:textFill>
        </w:rPr>
        <w:t>系统的</w:t>
      </w:r>
      <w:r>
        <w:rPr>
          <w:rFonts w:hint="eastAsia" w:ascii="宋体" w:hAnsi="宋体"/>
          <w:color w:val="000000" w:themeColor="text1"/>
          <w:sz w:val="30"/>
          <w:szCs w:val="30"/>
          <w:highlight w:val="none"/>
          <w14:textFill>
            <w14:solidFill>
              <w14:schemeClr w14:val="tx1"/>
            </w14:solidFill>
          </w14:textFill>
        </w:rPr>
        <w:t>检查</w:t>
      </w:r>
      <w:r>
        <w:rPr>
          <w:rFonts w:ascii="宋体" w:hAnsi="宋体"/>
          <w:color w:val="000000" w:themeColor="text1"/>
          <w:sz w:val="30"/>
          <w:szCs w:val="30"/>
          <w:highlight w:val="none"/>
          <w14:textFill>
            <w14:solidFill>
              <w14:schemeClr w14:val="tx1"/>
            </w14:solidFill>
          </w14:textFill>
        </w:rPr>
        <w:t>与审计需求，</w:t>
      </w:r>
      <w:r>
        <w:rPr>
          <w:rFonts w:hint="eastAsia" w:ascii="宋体" w:hAnsi="宋体"/>
          <w:color w:val="000000" w:themeColor="text1"/>
          <w:sz w:val="30"/>
          <w:szCs w:val="30"/>
          <w:highlight w:val="none"/>
          <w14:textFill>
            <w14:solidFill>
              <w14:schemeClr w14:val="tx1"/>
            </w14:solidFill>
          </w14:textFill>
        </w:rPr>
        <w:t>乙方</w:t>
      </w:r>
      <w:r>
        <w:rPr>
          <w:rFonts w:ascii="宋体" w:hAnsi="宋体"/>
          <w:color w:val="000000" w:themeColor="text1"/>
          <w:sz w:val="30"/>
          <w:szCs w:val="30"/>
          <w:highlight w:val="none"/>
          <w14:textFill>
            <w14:solidFill>
              <w14:schemeClr w14:val="tx1"/>
            </w14:solidFill>
          </w14:textFill>
        </w:rPr>
        <w:t>需配合</w:t>
      </w:r>
      <w:r>
        <w:rPr>
          <w:rFonts w:hint="eastAsia" w:ascii="宋体" w:hAnsi="宋体"/>
          <w:color w:val="000000" w:themeColor="text1"/>
          <w:sz w:val="30"/>
          <w:szCs w:val="30"/>
          <w:highlight w:val="none"/>
          <w14:textFill>
            <w14:solidFill>
              <w14:schemeClr w14:val="tx1"/>
            </w14:solidFill>
          </w14:textFill>
        </w:rPr>
        <w:t>甲方</w:t>
      </w:r>
      <w:r>
        <w:rPr>
          <w:rFonts w:ascii="宋体" w:hAnsi="宋体"/>
          <w:color w:val="000000" w:themeColor="text1"/>
          <w:sz w:val="30"/>
          <w:szCs w:val="30"/>
          <w:highlight w:val="none"/>
          <w14:textFill>
            <w14:solidFill>
              <w14:schemeClr w14:val="tx1"/>
            </w14:solidFill>
          </w14:textFill>
        </w:rPr>
        <w:t>完成</w:t>
      </w:r>
      <w:r>
        <w:rPr>
          <w:rFonts w:hint="eastAsia" w:ascii="宋体" w:hAnsi="宋体"/>
          <w:color w:val="000000" w:themeColor="text1"/>
          <w:sz w:val="30"/>
          <w:szCs w:val="30"/>
          <w:highlight w:val="none"/>
          <w14:textFill>
            <w14:solidFill>
              <w14:schemeClr w14:val="tx1"/>
            </w14:solidFill>
          </w14:textFill>
        </w:rPr>
        <w:t>监管</w:t>
      </w:r>
      <w:r>
        <w:rPr>
          <w:rFonts w:ascii="宋体" w:hAnsi="宋体"/>
          <w:color w:val="000000" w:themeColor="text1"/>
          <w:sz w:val="30"/>
          <w:szCs w:val="30"/>
          <w:highlight w:val="none"/>
          <w14:textFill>
            <w14:solidFill>
              <w14:schemeClr w14:val="tx1"/>
            </w14:solidFill>
          </w14:textFill>
        </w:rPr>
        <w:t>及内控要求的</w:t>
      </w:r>
      <w:r>
        <w:rPr>
          <w:rFonts w:hint="eastAsia" w:ascii="宋体" w:hAnsi="宋体"/>
          <w:color w:val="000000" w:themeColor="text1"/>
          <w:sz w:val="30"/>
          <w:szCs w:val="30"/>
          <w:highlight w:val="none"/>
          <w14:textFill>
            <w14:solidFill>
              <w14:schemeClr w14:val="tx1"/>
            </w14:solidFill>
          </w14:textFill>
        </w:rPr>
        <w:t>设计</w:t>
      </w:r>
      <w:r>
        <w:rPr>
          <w:rFonts w:ascii="宋体" w:hAnsi="宋体"/>
          <w:color w:val="000000" w:themeColor="text1"/>
          <w:sz w:val="30"/>
          <w:szCs w:val="30"/>
          <w:highlight w:val="none"/>
          <w14:textFill>
            <w14:solidFill>
              <w14:schemeClr w14:val="tx1"/>
            </w14:solidFill>
          </w14:textFill>
        </w:rPr>
        <w:t>与实施工作。</w:t>
      </w:r>
    </w:p>
    <w:p>
      <w:pPr>
        <w:pStyle w:val="2"/>
        <w:ind w:firstLine="723"/>
        <w:jc w:val="center"/>
        <w:rPr>
          <w:rFonts w:ascii="宋体" w:hAnsi="宋体"/>
          <w:color w:val="000000" w:themeColor="text1"/>
          <w:sz w:val="36"/>
          <w:szCs w:val="32"/>
          <w:highlight w:val="none"/>
          <w14:textFill>
            <w14:solidFill>
              <w14:schemeClr w14:val="tx1"/>
            </w14:solidFill>
          </w14:textFill>
        </w:rPr>
      </w:pPr>
      <w:bookmarkStart w:id="147" w:name="_Toc428202499"/>
      <w:r>
        <w:rPr>
          <w:rFonts w:hint="eastAsia" w:ascii="宋体" w:hAnsi="宋体"/>
          <w:color w:val="000000" w:themeColor="text1"/>
          <w:sz w:val="36"/>
          <w:szCs w:val="32"/>
          <w:highlight w:val="none"/>
          <w14:textFill>
            <w14:solidFill>
              <w14:schemeClr w14:val="tx1"/>
            </w14:solidFill>
          </w14:textFill>
        </w:rPr>
        <w:t>第十四章禁止分包、</w:t>
      </w:r>
      <w:r>
        <w:rPr>
          <w:rFonts w:ascii="宋体" w:hAnsi="宋体"/>
          <w:color w:val="000000" w:themeColor="text1"/>
          <w:sz w:val="36"/>
          <w:szCs w:val="32"/>
          <w:highlight w:val="none"/>
          <w14:textFill>
            <w14:solidFill>
              <w14:schemeClr w14:val="tx1"/>
            </w14:solidFill>
          </w14:textFill>
        </w:rPr>
        <w:t>转包</w:t>
      </w:r>
      <w:r>
        <w:rPr>
          <w:rFonts w:hint="eastAsia" w:ascii="宋体" w:hAnsi="宋体"/>
          <w:color w:val="000000" w:themeColor="text1"/>
          <w:sz w:val="36"/>
          <w:szCs w:val="32"/>
          <w:highlight w:val="none"/>
          <w14:textFill>
            <w14:solidFill>
              <w14:schemeClr w14:val="tx1"/>
            </w14:solidFill>
          </w14:textFill>
        </w:rPr>
        <w:t>开发</w:t>
      </w:r>
      <w:bookmarkEnd w:id="147"/>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在本合同有效期内，乙方必须亲自履行甲方委托的开发项目，未征得甲方的书面同意，不得将其在本合同项下的受托项目部分或全部转让给其它</w:t>
      </w:r>
      <w:r>
        <w:rPr>
          <w:rFonts w:hint="eastAsia" w:ascii="宋体" w:hAnsi="宋体"/>
          <w:color w:val="000000" w:themeColor="text1"/>
          <w:sz w:val="30"/>
          <w:szCs w:val="30"/>
          <w:highlight w:val="none"/>
          <w14:textFill>
            <w14:solidFill>
              <w14:schemeClr w14:val="tx1"/>
            </w14:solidFill>
          </w14:textFill>
        </w:rPr>
        <w:t>第三</w:t>
      </w:r>
      <w:r>
        <w:rPr>
          <w:rFonts w:ascii="宋体" w:hAnsi="宋体"/>
          <w:color w:val="000000" w:themeColor="text1"/>
          <w:sz w:val="30"/>
          <w:szCs w:val="30"/>
          <w:highlight w:val="none"/>
          <w14:textFill>
            <w14:solidFill>
              <w14:schemeClr w14:val="tx1"/>
            </w14:solidFill>
          </w14:textFill>
        </w:rPr>
        <w:t>方执行。违反本项规定的，乙方</w:t>
      </w:r>
      <w:r>
        <w:rPr>
          <w:rFonts w:hint="eastAsia" w:ascii="宋体" w:hAnsi="宋体"/>
          <w:color w:val="000000" w:themeColor="text1"/>
          <w:sz w:val="30"/>
          <w:szCs w:val="30"/>
          <w:highlight w:val="none"/>
          <w14:textFill>
            <w14:solidFill>
              <w14:schemeClr w14:val="tx1"/>
            </w14:solidFill>
          </w14:textFill>
        </w:rPr>
        <w:t>构成根本违约，甲方有权单方解除合同，要求乙方按本合同金额的20%承担违约责任，并要求乙方赔偿甲方产生的实际损失。</w:t>
      </w:r>
    </w:p>
    <w:p>
      <w:pPr>
        <w:pStyle w:val="2"/>
        <w:ind w:firstLine="723"/>
        <w:jc w:val="center"/>
        <w:rPr>
          <w:rFonts w:ascii="宋体" w:hAnsi="宋体"/>
          <w:color w:val="000000" w:themeColor="text1"/>
          <w:sz w:val="36"/>
          <w:szCs w:val="32"/>
          <w:highlight w:val="none"/>
          <w14:textFill>
            <w14:solidFill>
              <w14:schemeClr w14:val="tx1"/>
            </w14:solidFill>
          </w14:textFill>
        </w:rPr>
      </w:pPr>
      <w:bookmarkStart w:id="148" w:name="_Toc428202500"/>
      <w:r>
        <w:rPr>
          <w:rFonts w:hint="eastAsia" w:ascii="宋体" w:hAnsi="宋体"/>
          <w:color w:val="000000" w:themeColor="text1"/>
          <w:sz w:val="36"/>
          <w:szCs w:val="32"/>
          <w:highlight w:val="none"/>
          <w14:textFill>
            <w14:solidFill>
              <w14:schemeClr w14:val="tx1"/>
            </w14:solidFill>
          </w14:textFill>
        </w:rPr>
        <w:t>第</w:t>
      </w:r>
      <w:r>
        <w:rPr>
          <w:rFonts w:ascii="宋体" w:hAnsi="宋体"/>
          <w:color w:val="000000" w:themeColor="text1"/>
          <w:sz w:val="36"/>
          <w:szCs w:val="32"/>
          <w:highlight w:val="none"/>
          <w14:textFill>
            <w14:solidFill>
              <w14:schemeClr w14:val="tx1"/>
            </w14:solidFill>
          </w14:textFill>
        </w:rPr>
        <w:t>十</w:t>
      </w:r>
      <w:r>
        <w:rPr>
          <w:rFonts w:hint="eastAsia" w:ascii="宋体" w:hAnsi="宋体"/>
          <w:color w:val="000000" w:themeColor="text1"/>
          <w:sz w:val="36"/>
          <w:szCs w:val="32"/>
          <w:highlight w:val="none"/>
          <w14:textFill>
            <w14:solidFill>
              <w14:schemeClr w14:val="tx1"/>
            </w14:solidFill>
          </w14:textFill>
        </w:rPr>
        <w:t>五</w:t>
      </w:r>
      <w:r>
        <w:rPr>
          <w:rFonts w:ascii="宋体" w:hAnsi="宋体"/>
          <w:color w:val="000000" w:themeColor="text1"/>
          <w:sz w:val="36"/>
          <w:szCs w:val="32"/>
          <w:highlight w:val="none"/>
          <w14:textFill>
            <w14:solidFill>
              <w14:schemeClr w14:val="tx1"/>
            </w14:solidFill>
          </w14:textFill>
        </w:rPr>
        <w:t>章</w:t>
      </w:r>
      <w:r>
        <w:rPr>
          <w:rFonts w:hint="eastAsia" w:ascii="宋体" w:hAnsi="宋体"/>
          <w:color w:val="000000" w:themeColor="text1"/>
          <w:sz w:val="36"/>
          <w:szCs w:val="32"/>
          <w:highlight w:val="none"/>
          <w14:textFill>
            <w14:solidFill>
              <w14:schemeClr w14:val="tx1"/>
            </w14:solidFill>
          </w14:textFill>
        </w:rPr>
        <w:t xml:space="preserve">  服务连续性</w:t>
      </w:r>
      <w:r>
        <w:rPr>
          <w:rFonts w:ascii="宋体" w:hAnsi="宋体"/>
          <w:color w:val="000000" w:themeColor="text1"/>
          <w:sz w:val="36"/>
          <w:szCs w:val="32"/>
          <w:highlight w:val="none"/>
          <w14:textFill>
            <w14:solidFill>
              <w14:schemeClr w14:val="tx1"/>
            </w14:solidFill>
          </w14:textFill>
        </w:rPr>
        <w:t>与应急管理</w:t>
      </w:r>
      <w:bookmarkEnd w:id="148"/>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签订合同时，乙方项目经理在项目开始之前针对项目考虑有关服务无法持续进行、项目被迫中断、外包商倒闭或陷入重大经济、财务、法律事项后的应急预案。同时，应针对项目制定相应的应急计划，采取适当措施评估及解决因服务商业务中断或其它问题导致的可能后果。乙方应承诺定期向甲方通报项目的有关事项；乙方应承诺及时向甲方通报外包项目的突发性事件。</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签订合同时，乙方在项目结束之前需提供专门的应急计划，包括灾难恢复计划及备份设施的测试计划。</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 xml:space="preserve">签订合同时，乙方需明确应该提供的业务连续性保障水平，以及提供相关资源的承诺，乙方应满足甲方连续服务性管理目标要求，优先响应甲方业务连续性目标和应急管理要求。 </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签订合同时，乙方需明确报告条款，至少包括常规报告内容和报告频度、突发事件时的报告路线、报告方式及时限要求。</w:t>
      </w:r>
    </w:p>
    <w:p>
      <w:pPr>
        <w:pStyle w:val="2"/>
        <w:ind w:firstLine="723"/>
        <w:jc w:val="center"/>
        <w:rPr>
          <w:rFonts w:ascii="宋体" w:hAnsi="宋体"/>
          <w:color w:val="000000" w:themeColor="text1"/>
          <w:sz w:val="36"/>
          <w:szCs w:val="32"/>
          <w:highlight w:val="none"/>
          <w14:textFill>
            <w14:solidFill>
              <w14:schemeClr w14:val="tx1"/>
            </w14:solidFill>
          </w14:textFill>
        </w:rPr>
      </w:pPr>
      <w:bookmarkStart w:id="149" w:name="_Toc428202501"/>
      <w:r>
        <w:rPr>
          <w:rFonts w:hint="eastAsia" w:ascii="宋体" w:hAnsi="宋体"/>
          <w:color w:val="000000" w:themeColor="text1"/>
          <w:sz w:val="36"/>
          <w:szCs w:val="32"/>
          <w:highlight w:val="none"/>
          <w14:textFill>
            <w14:solidFill>
              <w14:schemeClr w14:val="tx1"/>
            </w14:solidFill>
          </w14:textFill>
        </w:rPr>
        <w:t>第</w:t>
      </w:r>
      <w:r>
        <w:rPr>
          <w:rFonts w:ascii="宋体" w:hAnsi="宋体"/>
          <w:color w:val="000000" w:themeColor="text1"/>
          <w:sz w:val="36"/>
          <w:szCs w:val="32"/>
          <w:highlight w:val="none"/>
          <w14:textFill>
            <w14:solidFill>
              <w14:schemeClr w14:val="tx1"/>
            </w14:solidFill>
          </w14:textFill>
        </w:rPr>
        <w:t>十</w:t>
      </w:r>
      <w:r>
        <w:rPr>
          <w:rFonts w:hint="eastAsia" w:ascii="宋体" w:hAnsi="宋体"/>
          <w:color w:val="000000" w:themeColor="text1"/>
          <w:sz w:val="36"/>
          <w:szCs w:val="32"/>
          <w:highlight w:val="none"/>
          <w14:textFill>
            <w14:solidFill>
              <w14:schemeClr w14:val="tx1"/>
            </w14:solidFill>
          </w14:textFill>
        </w:rPr>
        <w:t>六章  不可抗力</w:t>
      </w:r>
      <w:bookmarkEnd w:id="149"/>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本合同所称不可抗力是指不能预见、不能避免、不能克服并对当事人造成重大影响的客观情况，包括但不限于自然灾害如洪水、地震、火灾和风暴等以及社会事件如战争、动乱、罢工、政府行为或法律规定及政策变化等。</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在本合同履行期间，如发生不可抗力事件造成不能按照约定履行本合同的，遇不可抗力的一方应立即将该事件情况书面告知另一方，并应在10日内，提供不可抗力事件证明材料及合同不能履行或者需要延期履行的书面材料，经双方认可后协商终止合同或暂时延迟合同的履行。</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因不可抗力不能履行合同的，根据不可抗力的影响，部分或全部免除责任，但双方另有约定的除外。当事人延迟履行后发生不可抗力的，不能免除责任。</w:t>
      </w:r>
    </w:p>
    <w:p>
      <w:pPr>
        <w:pStyle w:val="2"/>
        <w:ind w:firstLine="723"/>
        <w:jc w:val="center"/>
        <w:rPr>
          <w:rFonts w:ascii="宋体" w:hAnsi="宋体"/>
          <w:b w:val="0"/>
          <w:color w:val="000000" w:themeColor="text1"/>
          <w:sz w:val="36"/>
          <w:szCs w:val="32"/>
          <w:highlight w:val="none"/>
          <w14:textFill>
            <w14:solidFill>
              <w14:schemeClr w14:val="tx1"/>
            </w14:solidFill>
          </w14:textFill>
        </w:rPr>
      </w:pPr>
      <w:bookmarkStart w:id="150" w:name="_Toc428202502"/>
      <w:r>
        <w:rPr>
          <w:rFonts w:hint="eastAsia" w:ascii="宋体" w:hAnsi="宋体"/>
          <w:color w:val="000000" w:themeColor="text1"/>
          <w:sz w:val="36"/>
          <w:szCs w:val="32"/>
          <w:highlight w:val="none"/>
          <w14:textFill>
            <w14:solidFill>
              <w14:schemeClr w14:val="tx1"/>
            </w14:solidFill>
          </w14:textFill>
        </w:rPr>
        <w:t>第十七章双方违约责任</w:t>
      </w:r>
      <w:bookmarkEnd w:id="150"/>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交付违约，乙方应在合同所规定的时间内完成和交付本合同规定的项目。如乙方未依据本合同的规定完成和规定本合同所规定的义务。违约金的具体确定方式依照附件二《外包服务水平协议》执行。</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如延期时间超过60天，甲方有权终止合同，除合同约定的履约保证金外，并要求乙方支付合同总价的5%作为对甲方的赔偿。如甲方由此终止本合同，乙方应在两个星期内返还甲方所支付的费用和报酬并依甲方的指示退还或销毁所有的基础性文件和原始资料，并赔偿甲方由此而引起的直接和间接损失。</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付款违约，</w:t>
      </w:r>
      <w:r>
        <w:rPr>
          <w:rFonts w:ascii="宋体" w:hAnsi="宋体"/>
          <w:color w:val="000000" w:themeColor="text1"/>
          <w:sz w:val="30"/>
          <w:szCs w:val="30"/>
          <w:highlight w:val="none"/>
          <w14:textFill>
            <w14:solidFill>
              <w14:schemeClr w14:val="tx1"/>
            </w14:solidFill>
          </w14:textFill>
        </w:rPr>
        <w:t>若因甲方过错未按照合同规定期限付款</w:t>
      </w:r>
      <w:r>
        <w:rPr>
          <w:rFonts w:hint="eastAsia" w:ascii="宋体" w:hAnsi="宋体"/>
          <w:color w:val="000000" w:themeColor="text1"/>
          <w:sz w:val="30"/>
          <w:szCs w:val="30"/>
          <w:highlight w:val="none"/>
          <w14:textFill>
            <w14:solidFill>
              <w14:schemeClr w14:val="tx1"/>
            </w14:solidFill>
          </w14:textFill>
        </w:rPr>
        <w:t>，每延迟20个工作日，甲方应向乙方支付合同总价0.5%的违约金，但违约金的总数不超过合同总价的__5__%；</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保密违约，任何一方违反本合同所规定的保密义务，违约方应按本合同总价的5%支付违约金。如甲方实际损失超过该违约金的，受损失一方有权要求对方赔偿超过部分。</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其他条款违约，任何一方违反本合同所规定的其他义务，除本合同另有规定外，违约方按合同总价的5%金额向对方支付违约金。</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按本合同赔偿的违约金应在15个工作日内付清，否则，按逾期付款处理，即每迟延一日按合同总额的0.03%支付罚息。</w:t>
      </w:r>
    </w:p>
    <w:p>
      <w:pPr>
        <w:pStyle w:val="2"/>
        <w:ind w:firstLine="723"/>
        <w:jc w:val="center"/>
        <w:rPr>
          <w:rFonts w:ascii="宋体" w:hAnsi="宋体"/>
          <w:b w:val="0"/>
          <w:color w:val="000000" w:themeColor="text1"/>
          <w:sz w:val="36"/>
          <w:szCs w:val="32"/>
          <w:highlight w:val="none"/>
          <w14:textFill>
            <w14:solidFill>
              <w14:schemeClr w14:val="tx1"/>
            </w14:solidFill>
          </w14:textFill>
        </w:rPr>
      </w:pPr>
      <w:bookmarkStart w:id="151" w:name="_Toc428202504"/>
      <w:r>
        <w:rPr>
          <w:rFonts w:hint="eastAsia" w:ascii="宋体" w:hAnsi="宋体"/>
          <w:color w:val="000000" w:themeColor="text1"/>
          <w:sz w:val="36"/>
          <w:szCs w:val="32"/>
          <w:highlight w:val="none"/>
          <w14:textFill>
            <w14:solidFill>
              <w14:schemeClr w14:val="tx1"/>
            </w14:solidFill>
          </w14:textFill>
        </w:rPr>
        <w:t>第十九章合同生效、变更、终止</w:t>
      </w:r>
      <w:bookmarkEnd w:id="151"/>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合同生效，本合同自双方法定代表人（授权代理人）签字并加盖公章之日起生效。</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本合同对每一方的权利义务继受人和合法受让人均具有约束力；但是，未经另一方事先书面同意，任何一方均不得转让（无论是通过法律运作、证券或资产的销售、合并或其他方式）本合同的全部或部分。任何企图在违反本条规定情况下进行的转让均无效。</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任何一方未行使其于本合同项下的任何权利均不得构成或被视为该方对这些权利或其它权利的放弃或丧失。</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如果本合同中的任何条款或规定被认为非法或不可执行，则除这些条款和规定以外的其他条款的效力和可执行性不得因此而受到影响。</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本合同将保持其效力直到各方已完全履行本合同项下的所有义务并且本合同各方之间的所有付款和索赔已结清后终止。</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除本合同另有约定，未经双方协商一致，不得变更和解除本协议。</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本合同生效后，除法律法规或本合同另有规定外，未经甲、乙双方协商一致，任何一方不得提前中止、终止或解除本合同。任何一方违反本规定的，应赔偿守约方因此所产生的实际损失，且守约方有权解除本合同。</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本合同所有附件是本合同不可分割的组成部分，与本合同具有同等法律效力。</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所有关于本合同条款的修改、补充、变更经双方代表以书面形式制成并签章后均为本合同不可分割的组成部分，与本合同具有同等法律效力。</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在执行合同过程中之联系须以书面形式制成，正式信息还需以传真、邮递快件等方式传达至对方。</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合同变更，</w:t>
      </w:r>
      <w:r>
        <w:rPr>
          <w:rFonts w:ascii="宋体" w:hAnsi="宋体"/>
          <w:color w:val="000000" w:themeColor="text1"/>
          <w:sz w:val="30"/>
          <w:szCs w:val="30"/>
          <w:highlight w:val="none"/>
          <w14:textFill>
            <w14:solidFill>
              <w14:schemeClr w14:val="tx1"/>
            </w14:solidFill>
          </w14:textFill>
        </w:rPr>
        <w:t>合同的变更需经双方并加盖公章</w:t>
      </w:r>
      <w:r>
        <w:rPr>
          <w:rFonts w:hint="eastAsia" w:ascii="宋体" w:hAnsi="宋体"/>
          <w:color w:val="000000" w:themeColor="text1"/>
          <w:sz w:val="30"/>
          <w:szCs w:val="30"/>
          <w:highlight w:val="none"/>
          <w14:textFill>
            <w14:solidFill>
              <w14:schemeClr w14:val="tx1"/>
            </w14:solidFill>
          </w14:textFill>
        </w:rPr>
        <w:t>。合同一方提出变更，应提前30日书面通知另一方，另一方应在7个工作日内予以书面答复，逾期不答复的视为同意变更。合同的变更需经双方代表签字盖章。</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合同终止，有下列情形之一的，本合同终止：</w:t>
      </w:r>
    </w:p>
    <w:p>
      <w:pPr>
        <w:ind w:firstLine="900" w:firstLineChars="3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1.</w:t>
      </w:r>
      <w:r>
        <w:rPr>
          <w:rFonts w:hint="eastAsia" w:ascii="宋体" w:hAnsi="宋体"/>
          <w:color w:val="000000" w:themeColor="text1"/>
          <w:sz w:val="30"/>
          <w:szCs w:val="30"/>
          <w:highlight w:val="none"/>
          <w14:textFill>
            <w14:solidFill>
              <w14:schemeClr w14:val="tx1"/>
            </w14:solidFill>
          </w14:textFill>
        </w:rPr>
        <w:t>本合同之双方债务已经按照约定履行完毕；</w:t>
      </w:r>
    </w:p>
    <w:p>
      <w:pPr>
        <w:ind w:firstLine="900" w:firstLineChars="3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2.合同解除；</w:t>
      </w:r>
    </w:p>
    <w:p>
      <w:pPr>
        <w:ind w:firstLine="900" w:firstLineChars="3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3.法律规定或甲乙双方约定终止的其他情形。</w:t>
      </w:r>
    </w:p>
    <w:p>
      <w:pPr>
        <w:ind w:firstLine="600" w:firstLineChars="20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合同终止后，双方应当遵循诚实信用原则，根据交易习惯继续履行通知、协助、保密义务。</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下列情形下，当事人可以解除合同，有过错一方应当赔偿对方因此而受到的损失：</w:t>
      </w:r>
    </w:p>
    <w:p>
      <w:pPr>
        <w:ind w:firstLine="900" w:firstLineChars="3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1.</w:t>
      </w:r>
      <w:r>
        <w:rPr>
          <w:rFonts w:hint="eastAsia" w:ascii="宋体" w:hAnsi="宋体"/>
          <w:color w:val="000000" w:themeColor="text1"/>
          <w:sz w:val="30"/>
          <w:szCs w:val="30"/>
          <w:highlight w:val="none"/>
          <w14:textFill>
            <w14:solidFill>
              <w14:schemeClr w14:val="tx1"/>
            </w14:solidFill>
          </w14:textFill>
        </w:rPr>
        <w:t>因不可抗力致使不能实现合同的；</w:t>
      </w:r>
    </w:p>
    <w:p>
      <w:pPr>
        <w:ind w:firstLine="900" w:firstLineChars="3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2.</w:t>
      </w:r>
      <w:r>
        <w:rPr>
          <w:rFonts w:hint="eastAsia" w:ascii="宋体" w:hAnsi="宋体"/>
          <w:color w:val="000000" w:themeColor="text1"/>
          <w:sz w:val="30"/>
          <w:szCs w:val="30"/>
          <w:highlight w:val="none"/>
          <w14:textFill>
            <w14:solidFill>
              <w14:schemeClr w14:val="tx1"/>
            </w14:solidFill>
          </w14:textFill>
        </w:rPr>
        <w:t>在履行期限届满之前，当事人一方明确表示或者以自己的行为表明不履行主要债务；</w:t>
      </w:r>
    </w:p>
    <w:p>
      <w:pPr>
        <w:ind w:firstLine="900" w:firstLineChars="30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3.</w:t>
      </w:r>
      <w:r>
        <w:rPr>
          <w:rFonts w:hint="eastAsia" w:ascii="宋体" w:hAnsi="宋体"/>
          <w:color w:val="000000" w:themeColor="text1"/>
          <w:sz w:val="30"/>
          <w:szCs w:val="30"/>
          <w:highlight w:val="none"/>
          <w14:textFill>
            <w14:solidFill>
              <w14:schemeClr w14:val="tx1"/>
            </w14:solidFill>
          </w14:textFill>
        </w:rPr>
        <w:t>当事人一方延迟履行主要债务，经催告后在7日内仍未履行；</w:t>
      </w:r>
    </w:p>
    <w:p>
      <w:pPr>
        <w:ind w:firstLine="1050" w:firstLineChars="35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4.</w:t>
      </w:r>
      <w:r>
        <w:rPr>
          <w:rFonts w:hint="eastAsia" w:ascii="宋体" w:hAnsi="宋体"/>
          <w:color w:val="000000" w:themeColor="text1"/>
          <w:sz w:val="30"/>
          <w:szCs w:val="30"/>
          <w:highlight w:val="none"/>
          <w14:textFill>
            <w14:solidFill>
              <w14:schemeClr w14:val="tx1"/>
            </w14:solidFill>
          </w14:textFill>
        </w:rPr>
        <w:t>当事人一方延迟履行债务或者有其他违约行为致使不能实现合同目的的；</w:t>
      </w:r>
    </w:p>
    <w:p>
      <w:pPr>
        <w:ind w:firstLine="1050" w:firstLineChars="350"/>
        <w:jc w:val="left"/>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5.</w:t>
      </w:r>
      <w:r>
        <w:rPr>
          <w:rFonts w:hint="eastAsia" w:ascii="宋体" w:hAnsi="宋体"/>
          <w:color w:val="000000" w:themeColor="text1"/>
          <w:sz w:val="30"/>
          <w:szCs w:val="30"/>
          <w:highlight w:val="none"/>
          <w14:textFill>
            <w14:solidFill>
              <w14:schemeClr w14:val="tx1"/>
            </w14:solidFill>
          </w14:textFill>
        </w:rPr>
        <w:t>法律规定其他情形。</w:t>
      </w:r>
    </w:p>
    <w:p>
      <w:pPr>
        <w:pStyle w:val="298"/>
        <w:numPr>
          <w:ilvl w:val="0"/>
          <w:numId w:val="16"/>
        </w:numPr>
        <w:ind w:left="0" w:firstLine="601" w:firstLineChars="0"/>
        <w:jc w:val="left"/>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当事人一方依照本合同约定主张解除合同的，应当以书面形式通知对方。本合同自通知到达对方时解除。对方有异议的，按照本合同关于争议解决的约定处理。</w:t>
      </w:r>
    </w:p>
    <w:p>
      <w:pPr>
        <w:widowControl/>
        <w:jc w:val="left"/>
        <w:rPr>
          <w:rFonts w:ascii="Times New Roman" w:hAnsi="Times New Roman" w:eastAsia="宋体" w:cs="Times New Roman"/>
          <w:color w:val="000000" w:themeColor="text1"/>
          <w:highlight w:val="none"/>
          <w14:textFill>
            <w14:solidFill>
              <w14:schemeClr w14:val="tx1"/>
            </w14:solidFill>
          </w14:textFill>
        </w:rPr>
      </w:pPr>
    </w:p>
    <w:p>
      <w:pPr>
        <w:keepNext/>
        <w:keepLines/>
        <w:spacing w:line="360" w:lineRule="auto"/>
        <w:ind w:firstLine="2650" w:firstLineChars="600"/>
        <w:outlineLvl w:val="0"/>
        <w:rPr>
          <w:rFonts w:ascii="Calibri" w:hAnsi="Calibri" w:eastAsia="黑体" w:cs="Times New Roman"/>
          <w:b/>
          <w:bCs/>
          <w:color w:val="000000" w:themeColor="text1"/>
          <w:kern w:val="44"/>
          <w:sz w:val="44"/>
          <w:szCs w:val="44"/>
          <w:highlight w:val="none"/>
          <w14:textFill>
            <w14:solidFill>
              <w14:schemeClr w14:val="tx1"/>
            </w14:solidFill>
          </w14:textFill>
        </w:rPr>
      </w:pPr>
      <w:r>
        <w:rPr>
          <w:rFonts w:ascii="Calibri" w:hAnsi="Calibri" w:eastAsia="黑体" w:cs="Times New Roman"/>
          <w:b/>
          <w:bCs/>
          <w:color w:val="000000" w:themeColor="text1"/>
          <w:kern w:val="44"/>
          <w:sz w:val="44"/>
          <w:szCs w:val="44"/>
          <w:highlight w:val="none"/>
          <w14:textFill>
            <w14:solidFill>
              <w14:schemeClr w14:val="tx1"/>
            </w14:solidFill>
          </w14:textFill>
        </w:rPr>
        <w:br w:type="page"/>
      </w:r>
    </w:p>
    <w:p>
      <w:pPr>
        <w:keepNext/>
        <w:keepLines/>
        <w:spacing w:line="360" w:lineRule="auto"/>
        <w:ind w:firstLine="2650" w:firstLineChars="600"/>
        <w:outlineLvl w:val="0"/>
        <w:rPr>
          <w:rFonts w:ascii="Calibri" w:hAnsi="Calibri" w:eastAsia="黑体" w:cs="Times New Roman"/>
          <w:b/>
          <w:bCs/>
          <w:color w:val="000000" w:themeColor="text1"/>
          <w:kern w:val="44"/>
          <w:sz w:val="44"/>
          <w:szCs w:val="44"/>
          <w:highlight w:val="none"/>
          <w14:textFill>
            <w14:solidFill>
              <w14:schemeClr w14:val="tx1"/>
            </w14:solidFill>
          </w14:textFill>
        </w:rPr>
      </w:pPr>
      <w:r>
        <w:rPr>
          <w:rFonts w:ascii="Calibri" w:hAnsi="Calibri" w:eastAsia="黑体" w:cs="Times New Roman"/>
          <w:b/>
          <w:bCs/>
          <w:color w:val="000000" w:themeColor="text1"/>
          <w:kern w:val="44"/>
          <w:sz w:val="44"/>
          <w:szCs w:val="44"/>
          <w:highlight w:val="none"/>
          <w14:textFill>
            <w14:solidFill>
              <w14:schemeClr w14:val="tx1"/>
            </w14:solidFill>
          </w14:textFill>
        </w:rPr>
        <w:t>第五章</w:t>
      </w:r>
      <w:bookmarkStart w:id="152" w:name="OLE_LINK3"/>
      <w:r>
        <w:rPr>
          <w:rFonts w:ascii="Calibri" w:hAnsi="Calibri" w:eastAsia="黑体" w:cs="Times New Roman"/>
          <w:b/>
          <w:bCs/>
          <w:color w:val="000000" w:themeColor="text1"/>
          <w:kern w:val="44"/>
          <w:sz w:val="44"/>
          <w:szCs w:val="44"/>
          <w:highlight w:val="none"/>
          <w14:textFill>
            <w14:solidFill>
              <w14:schemeClr w14:val="tx1"/>
            </w14:solidFill>
          </w14:textFill>
        </w:rPr>
        <w:t>项目需求</w:t>
      </w:r>
      <w:bookmarkEnd w:id="134"/>
      <w:bookmarkEnd w:id="152"/>
    </w:p>
    <w:p>
      <w:pPr>
        <w:keepNext/>
        <w:keepLines/>
        <w:spacing w:line="400" w:lineRule="exact"/>
        <w:outlineLvl w:val="0"/>
        <w:rPr>
          <w:rFonts w:ascii="Times New Roman" w:hAnsi="Times New Roman" w:eastAsia="宋体" w:cs="Times New Roman"/>
          <w:color w:val="000000" w:themeColor="text1"/>
          <w:szCs w:val="21"/>
          <w:highlight w:val="none"/>
          <w14:textFill>
            <w14:solidFill>
              <w14:schemeClr w14:val="tx1"/>
            </w14:solidFill>
          </w14:textFill>
        </w:rPr>
      </w:pPr>
    </w:p>
    <w:p>
      <w:pPr>
        <w:keepNext/>
        <w:keepLines/>
        <w:spacing w:line="400" w:lineRule="exact"/>
        <w:jc w:val="center"/>
        <w:outlineLvl w:val="0"/>
        <w:rPr>
          <w:rFonts w:ascii="Times New Roman" w:hAnsi="Times New Roman" w:eastAsia="黑体" w:cs="Times New Roman"/>
          <w:b/>
          <w:bCs/>
          <w:color w:val="000000" w:themeColor="text1"/>
          <w:kern w:val="44"/>
          <w:sz w:val="28"/>
          <w:szCs w:val="28"/>
          <w:highlight w:val="none"/>
          <w14:textFill>
            <w14:solidFill>
              <w14:schemeClr w14:val="tx1"/>
            </w14:solidFill>
          </w14:textFill>
        </w:rPr>
      </w:pPr>
      <w:bookmarkStart w:id="153" w:name="_Toc489972856"/>
      <w:r>
        <w:rPr>
          <w:rFonts w:ascii="Times New Roman" w:hAnsi="Times New Roman" w:eastAsia="黑体" w:cs="Times New Roman"/>
          <w:b/>
          <w:bCs/>
          <w:color w:val="000000" w:themeColor="text1"/>
          <w:kern w:val="44"/>
          <w:sz w:val="28"/>
          <w:szCs w:val="28"/>
          <w:highlight w:val="none"/>
          <w14:textFill>
            <w14:solidFill>
              <w14:schemeClr w14:val="tx1"/>
            </w14:solidFill>
          </w14:textFill>
        </w:rPr>
        <w:t>商务符合性要求</w:t>
      </w:r>
      <w:bookmarkEnd w:id="153"/>
    </w:p>
    <w:tbl>
      <w:tblPr>
        <w:tblStyle w:val="58"/>
        <w:tblW w:w="1003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shd w:val="clear" w:color="auto" w:fill="BFBFBF"/>
            <w:vAlign w:val="center"/>
          </w:tcPr>
          <w:p>
            <w:pPr>
              <w:tabs>
                <w:tab w:val="left" w:pos="1050"/>
                <w:tab w:val="left" w:pos="1470"/>
              </w:tabs>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条款号</w:t>
            </w:r>
          </w:p>
        </w:tc>
        <w:tc>
          <w:tcPr>
            <w:tcW w:w="9326" w:type="dxa"/>
            <w:shd w:val="clear" w:color="auto" w:fill="BFBFBF"/>
            <w:vAlign w:val="center"/>
          </w:tcPr>
          <w:p>
            <w:pPr>
              <w:tabs>
                <w:tab w:val="left" w:pos="1050"/>
                <w:tab w:val="left" w:pos="1470"/>
              </w:tabs>
              <w:jc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1</w:t>
            </w:r>
          </w:p>
        </w:tc>
        <w:tc>
          <w:tcPr>
            <w:tcW w:w="9326" w:type="dxa"/>
          </w:tcPr>
          <w:p>
            <w:pPr>
              <w:tabs>
                <w:tab w:val="left" w:pos="1050"/>
                <w:tab w:val="left" w:pos="1470"/>
              </w:tabs>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服务内容：</w:t>
            </w:r>
            <w:r>
              <w:rPr>
                <w:rFonts w:ascii="Times New Roman" w:hAnsi="Times New Roman" w:eastAsia="宋体" w:cs="Times New Roman"/>
                <w:color w:val="000000" w:themeColor="text1"/>
                <w:szCs w:val="21"/>
                <w:highlight w:val="none"/>
                <w14:textFill>
                  <w14:solidFill>
                    <w14:schemeClr w14:val="tx1"/>
                  </w14:solidFill>
                </w14:textFill>
              </w:rPr>
              <w:t>详见</w:t>
            </w:r>
            <w:r>
              <w:rPr>
                <w:rFonts w:hint="eastAsia" w:ascii="Times New Roman" w:hAnsi="Times New Roman" w:eastAsia="宋体" w:cs="Times New Roman"/>
                <w:color w:val="000000" w:themeColor="text1"/>
                <w:szCs w:val="21"/>
                <w:highlight w:val="none"/>
                <w14:textFill>
                  <w14:solidFill>
                    <w14:schemeClr w14:val="tx1"/>
                  </w14:solidFill>
                </w14:textFill>
              </w:rPr>
              <w:t>本文件第二章中投标人须知前附表</w:t>
            </w:r>
            <w:r>
              <w:rPr>
                <w:rFonts w:ascii="Times New Roman" w:hAnsi="Times New Roman" w:eastAsia="宋体"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2</w:t>
            </w:r>
          </w:p>
        </w:tc>
        <w:tc>
          <w:tcPr>
            <w:tcW w:w="9326" w:type="dxa"/>
          </w:tcPr>
          <w:p>
            <w:pPr>
              <w:tabs>
                <w:tab w:val="left" w:pos="1050"/>
                <w:tab w:val="left" w:pos="1470"/>
              </w:tabs>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服务地点：详见本文件第二章中投标人须知前附表。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3</w:t>
            </w:r>
          </w:p>
        </w:tc>
        <w:tc>
          <w:tcPr>
            <w:tcW w:w="9326" w:type="dxa"/>
          </w:tcPr>
          <w:p>
            <w:pPr>
              <w:tabs>
                <w:tab w:val="left" w:pos="1050"/>
                <w:tab w:val="left" w:pos="1470"/>
              </w:tabs>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服务期限：详见本文件第二章中投标人须知前附表。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4</w:t>
            </w:r>
          </w:p>
        </w:tc>
        <w:tc>
          <w:tcPr>
            <w:tcW w:w="9326" w:type="dxa"/>
            <w:vAlign w:val="center"/>
          </w:tcPr>
          <w:p>
            <w:pPr>
              <w:tabs>
                <w:tab w:val="left" w:pos="1050"/>
                <w:tab w:val="left" w:pos="1470"/>
              </w:tabs>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w:t>
            </w:r>
            <w:r>
              <w:rPr>
                <w:rFonts w:ascii="Times New Roman" w:hAnsi="Times New Roman" w:eastAsia="宋体" w:cs="Times New Roman"/>
                <w:color w:val="000000" w:themeColor="text1"/>
                <w:szCs w:val="21"/>
                <w:highlight w:val="none"/>
                <w14:textFill>
                  <w14:solidFill>
                    <w14:schemeClr w14:val="tx1"/>
                  </w14:solidFill>
                </w14:textFill>
              </w:rPr>
              <w:t>质量及验收要求：</w:t>
            </w:r>
            <w:r>
              <w:rPr>
                <w:rFonts w:hint="eastAsia" w:ascii="Times New Roman" w:hAnsi="Times New Roman" w:eastAsia="宋体" w:cs="Times New Roman"/>
                <w:color w:val="000000" w:themeColor="text1"/>
                <w:szCs w:val="21"/>
                <w:highlight w:val="none"/>
                <w14:textFill>
                  <w14:solidFill>
                    <w14:schemeClr w14:val="tx1"/>
                  </w14:solidFill>
                </w14:textFill>
              </w:rPr>
              <w:t>详见本文件第一章《招标公告》。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5</w:t>
            </w:r>
          </w:p>
        </w:tc>
        <w:tc>
          <w:tcPr>
            <w:tcW w:w="9326" w:type="dxa"/>
          </w:tcPr>
          <w:p>
            <w:pPr>
              <w:tabs>
                <w:tab w:val="left" w:pos="1050"/>
                <w:tab w:val="left" w:pos="1470"/>
              </w:tabs>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服务成果要求：详见本文件第一章《招标公告》。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6</w:t>
            </w:r>
          </w:p>
        </w:tc>
        <w:tc>
          <w:tcPr>
            <w:tcW w:w="9326" w:type="dxa"/>
          </w:tcPr>
          <w:p>
            <w:pPr>
              <w:tabs>
                <w:tab w:val="left" w:pos="1050"/>
                <w:tab w:val="left" w:pos="1470"/>
              </w:tabs>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售后服务要求：详见本文件第一章《招标公告》。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7</w:t>
            </w:r>
          </w:p>
        </w:tc>
        <w:tc>
          <w:tcPr>
            <w:tcW w:w="9326" w:type="dxa"/>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付款方式：</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以转账方式支付，分次支付：</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1、合同签订后支付合同总金额的10%；</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2、人行大集中报表、银监非现场监管报表、利率报备、金融标准化完成并成功上线试运行后，支付合同总金额的20%；</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3、其他管理模块完成并成功上线试运行后，支付合同总金额的30%；</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4)</w:t>
            </w:r>
            <w:r>
              <w:rPr>
                <w:rFonts w:ascii="Times New Roman" w:hAnsi="Times New Roman" w:eastAsia="宋体" w:cs="Times New Roman"/>
                <w:color w:val="000000" w:themeColor="text1"/>
                <w:szCs w:val="21"/>
                <w:highlight w:val="non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整体项目通过最终验收（上线后3个月），支付合同总金额的30%；</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5）项目最终验收后免费维护一年期满的20个工作日内，支付合同约定系统实施费的10%（尾款）。</w:t>
            </w:r>
          </w:p>
          <w:p>
            <w:pPr>
              <w:tabs>
                <w:tab w:val="left" w:pos="1050"/>
                <w:tab w:val="left" w:pos="1470"/>
              </w:tabs>
              <w:rPr>
                <w:rFonts w:ascii="Times New Roman" w:hAnsi="Times New Roman" w:eastAsia="宋体" w:cs="Times New Roman"/>
                <w:b/>
                <w:bCs/>
                <w:color w:val="000000" w:themeColor="text1"/>
                <w:szCs w:val="2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14:textFill>
                  <w14:solidFill>
                    <w14:schemeClr w14:val="tx1"/>
                  </w14:solidFill>
                </w14:textFill>
              </w:rPr>
              <w:t>特别说明，每次付款前供应商须提供相应金额的可全额抵扣的增值税专用发票。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8</w:t>
            </w:r>
          </w:p>
        </w:tc>
        <w:tc>
          <w:tcPr>
            <w:tcW w:w="9326" w:type="dxa"/>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1、履约担保金额：</w:t>
            </w:r>
            <w:r>
              <w:rPr>
                <w:rFonts w:hint="eastAsia" w:ascii="Times New Roman" w:hAnsi="Times New Roman" w:eastAsia="宋体" w:cs="Times New Roman"/>
                <w:color w:val="000000" w:themeColor="text1"/>
                <w:szCs w:val="21"/>
                <w:highlight w:val="none"/>
                <w14:textFill>
                  <w14:solidFill>
                    <w14:schemeClr w14:val="tx1"/>
                  </w14:solidFill>
                </w14:textFill>
              </w:rPr>
              <w:t>合同总金额的10%</w:t>
            </w:r>
            <w:r>
              <w:rPr>
                <w:rFonts w:ascii="Times New Roman" w:hAnsi="Times New Roman" w:eastAsia="宋体" w:cs="Times New Roman"/>
                <w:color w:val="000000" w:themeColor="text1"/>
                <w:szCs w:val="21"/>
                <w:highlight w:val="none"/>
                <w14:textFill>
                  <w14:solidFill>
                    <w14:schemeClr w14:val="tx1"/>
                  </w14:solidFill>
                </w14:textFill>
              </w:rPr>
              <w:t>；</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2、履约担保方式：银行转账支票、银行汇票；</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3、履约担保提交时间：中标人须收到中标通知书后</w:t>
            </w:r>
            <w:r>
              <w:rPr>
                <w:rFonts w:ascii="Times New Roman" w:hAnsi="Times New Roman" w:eastAsia="宋体" w:cs="Times New Roman"/>
                <w:color w:val="000000" w:themeColor="text1"/>
                <w:szCs w:val="21"/>
                <w:highlight w:val="none"/>
                <w:u w:val="single"/>
                <w14:textFill>
                  <w14:solidFill>
                    <w14:schemeClr w14:val="tx1"/>
                  </w14:solidFill>
                </w14:textFill>
              </w:rPr>
              <w:t>10</w:t>
            </w:r>
            <w:r>
              <w:rPr>
                <w:rFonts w:ascii="Times New Roman" w:hAnsi="Times New Roman" w:eastAsia="宋体" w:cs="Times New Roman"/>
                <w:color w:val="000000" w:themeColor="text1"/>
                <w:szCs w:val="21"/>
                <w:highlight w:val="none"/>
                <w14:textFill>
                  <w14:solidFill>
                    <w14:schemeClr w14:val="tx1"/>
                  </w14:solidFill>
                </w14:textFill>
              </w:rPr>
              <w:t>日内提交；</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（户名：重庆银行股份有限公司账号：999801011407008  开户行：重庆银行股份有限公司</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行号：313653000013）</w:t>
            </w:r>
          </w:p>
          <w:p>
            <w:pPr>
              <w:tabs>
                <w:tab w:val="left" w:pos="1050"/>
                <w:tab w:val="left" w:pos="1470"/>
              </w:tabs>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4、履约保证金退还时间：合同执行完毕，供应商如无违约行为，将一次性无息退还。如有违约，仅退还扣除违约金后的余额。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9</w:t>
            </w:r>
          </w:p>
        </w:tc>
        <w:tc>
          <w:tcPr>
            <w:tcW w:w="9326" w:type="dxa"/>
          </w:tcPr>
          <w:p>
            <w:pPr>
              <w:numPr>
                <w:ilvl w:val="255"/>
                <w:numId w:val="0"/>
              </w:numPr>
              <w:tabs>
                <w:tab w:val="left" w:pos="1050"/>
                <w:tab w:val="left" w:pos="1470"/>
              </w:tabs>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投标人</w:t>
            </w:r>
            <w:r>
              <w:rPr>
                <w:rFonts w:ascii="Times New Roman" w:hAnsi="Times New Roman" w:eastAsia="宋体" w:cs="Times New Roman"/>
                <w:color w:val="000000" w:themeColor="text1"/>
                <w:szCs w:val="21"/>
                <w:highlight w:val="none"/>
                <w14:textFill>
                  <w14:solidFill>
                    <w14:schemeClr w14:val="tx1"/>
                  </w14:solidFill>
                </w14:textFill>
              </w:rPr>
              <w:t>应在投标文件中明确说明项目人员安排。中标后项目实施期间，所有人员入场、撤场、更换均需得到行方项目经理及其直属领导审批同意。其中，项目经理应有统一监管报送平台项目的项目经理从业经验3个</w:t>
            </w:r>
            <w:r>
              <w:rPr>
                <w:rFonts w:hint="eastAsia" w:ascii="Times New Roman" w:hAnsi="Times New Roman" w:eastAsia="宋体" w:cs="Times New Roman"/>
                <w:color w:val="000000" w:themeColor="text1"/>
                <w:szCs w:val="21"/>
                <w:highlight w:val="none"/>
                <w14:textFill>
                  <w14:solidFill>
                    <w14:schemeClr w14:val="tx1"/>
                  </w14:solidFill>
                </w14:textFill>
              </w:rPr>
              <w:t>或</w:t>
            </w:r>
            <w:r>
              <w:rPr>
                <w:rFonts w:ascii="Times New Roman" w:hAnsi="Times New Roman" w:eastAsia="宋体" w:cs="Times New Roman"/>
                <w:color w:val="000000" w:themeColor="text1"/>
                <w:szCs w:val="21"/>
                <w:highlight w:val="none"/>
                <w14:textFill>
                  <w14:solidFill>
                    <w14:schemeClr w14:val="tx1"/>
                  </w14:solidFill>
                </w14:textFill>
              </w:rPr>
              <w:t>以上，项目组成员应有统一监管报送平台项目的技术从业经验3个</w:t>
            </w:r>
            <w:r>
              <w:rPr>
                <w:rFonts w:hint="eastAsia" w:ascii="Times New Roman" w:hAnsi="Times New Roman" w:eastAsia="宋体" w:cs="Times New Roman"/>
                <w:color w:val="000000" w:themeColor="text1"/>
                <w:szCs w:val="21"/>
                <w:highlight w:val="none"/>
                <w14:textFill>
                  <w14:solidFill>
                    <w14:schemeClr w14:val="tx1"/>
                  </w14:solidFill>
                </w14:textFill>
              </w:rPr>
              <w:t>或</w:t>
            </w:r>
            <w:r>
              <w:rPr>
                <w:rFonts w:ascii="Times New Roman" w:hAnsi="Times New Roman" w:eastAsia="宋体" w:cs="Times New Roman"/>
                <w:color w:val="000000" w:themeColor="text1"/>
                <w:szCs w:val="21"/>
                <w:highlight w:val="none"/>
                <w14:textFill>
                  <w14:solidFill>
                    <w14:schemeClr w14:val="tx1"/>
                  </w14:solidFill>
                </w14:textFill>
              </w:rPr>
              <w:t>以上。</w:t>
            </w:r>
          </w:p>
        </w:tc>
      </w:tr>
    </w:tbl>
    <w:p>
      <w:pPr>
        <w:tabs>
          <w:tab w:val="left" w:pos="1050"/>
          <w:tab w:val="left" w:pos="1470"/>
        </w:tabs>
        <w:adjustRightInd w:val="0"/>
        <w:spacing w:line="400" w:lineRule="exact"/>
        <w:jc w:val="lef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注：请各投标人仔细阅读招标文件相关条款，投标人对招标文件要求进行响应后，招标人在后期合同签订和项目实施过程中将按照招标文件要求执行，不再做出调整。</w:t>
      </w:r>
    </w:p>
    <w:p>
      <w:pPr>
        <w:widowControl/>
        <w:jc w:val="lef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br w:type="page"/>
      </w:r>
    </w:p>
    <w:p>
      <w:pPr>
        <w:tabs>
          <w:tab w:val="left" w:pos="1050"/>
          <w:tab w:val="left" w:pos="1470"/>
        </w:tabs>
        <w:adjustRightInd w:val="0"/>
        <w:spacing w:line="400" w:lineRule="exact"/>
        <w:jc w:val="left"/>
        <w:rPr>
          <w:rFonts w:ascii="Times New Roman" w:hAnsi="Times New Roman" w:eastAsia="宋体" w:cs="Times New Roman"/>
          <w:color w:val="000000" w:themeColor="text1"/>
          <w:szCs w:val="21"/>
          <w:highlight w:val="none"/>
          <w14:textFill>
            <w14:solidFill>
              <w14:schemeClr w14:val="tx1"/>
            </w14:solidFill>
          </w14:textFill>
        </w:rPr>
      </w:pPr>
    </w:p>
    <w:p>
      <w:pPr>
        <w:tabs>
          <w:tab w:val="left" w:pos="1050"/>
          <w:tab w:val="left" w:pos="1470"/>
        </w:tabs>
        <w:adjustRightInd w:val="0"/>
        <w:spacing w:line="400" w:lineRule="exact"/>
        <w:jc w:val="left"/>
        <w:rPr>
          <w:rFonts w:ascii="Times New Roman" w:hAnsi="Times New Roman" w:eastAsia="宋体" w:cs="Times New Roman"/>
          <w:color w:val="000000" w:themeColor="text1"/>
          <w:szCs w:val="21"/>
          <w:highlight w:val="none"/>
          <w14:textFill>
            <w14:solidFill>
              <w14:schemeClr w14:val="tx1"/>
            </w14:solidFill>
          </w14:textFill>
        </w:rPr>
      </w:pPr>
    </w:p>
    <w:p>
      <w:pPr>
        <w:keepNext/>
        <w:keepLines/>
        <w:spacing w:line="360" w:lineRule="auto"/>
        <w:ind w:firstLine="883" w:firstLineChars="200"/>
        <w:jc w:val="center"/>
        <w:outlineLvl w:val="0"/>
        <w:rPr>
          <w:rFonts w:ascii="Calibri" w:hAnsi="Calibri" w:eastAsia="黑体" w:cs="Times New Roman"/>
          <w:b/>
          <w:bCs/>
          <w:color w:val="000000" w:themeColor="text1"/>
          <w:kern w:val="44"/>
          <w:sz w:val="44"/>
          <w:szCs w:val="44"/>
          <w:highlight w:val="none"/>
          <w14:textFill>
            <w14:solidFill>
              <w14:schemeClr w14:val="tx1"/>
            </w14:solidFill>
          </w14:textFill>
        </w:rPr>
      </w:pPr>
      <w:bookmarkStart w:id="154" w:name="_Toc385581881"/>
      <w:bookmarkStart w:id="155" w:name="_Toc489972857"/>
      <w:r>
        <w:rPr>
          <w:rFonts w:ascii="Calibri" w:hAnsi="Calibri" w:eastAsia="黑体" w:cs="Times New Roman"/>
          <w:b/>
          <w:bCs/>
          <w:color w:val="000000" w:themeColor="text1"/>
          <w:kern w:val="44"/>
          <w:sz w:val="44"/>
          <w:szCs w:val="44"/>
          <w:highlight w:val="none"/>
          <w14:textFill>
            <w14:solidFill>
              <w14:schemeClr w14:val="tx1"/>
            </w14:solidFill>
          </w14:textFill>
        </w:rPr>
        <w:t>第六章</w:t>
      </w:r>
      <w:bookmarkEnd w:id="154"/>
      <w:r>
        <w:rPr>
          <w:rFonts w:ascii="Calibri" w:hAnsi="Calibri" w:eastAsia="黑体" w:cs="Times New Roman"/>
          <w:b/>
          <w:bCs/>
          <w:color w:val="000000" w:themeColor="text1"/>
          <w:kern w:val="44"/>
          <w:sz w:val="44"/>
          <w:szCs w:val="44"/>
          <w:highlight w:val="none"/>
          <w14:textFill>
            <w14:solidFill>
              <w14:schemeClr w14:val="tx1"/>
            </w14:solidFill>
          </w14:textFill>
        </w:rPr>
        <w:t>　投标文件格式</w:t>
      </w:r>
      <w:bookmarkEnd w:id="155"/>
      <w:r>
        <w:rPr>
          <w:rFonts w:hint="eastAsia" w:ascii="Calibri" w:hAnsi="Calibri" w:eastAsia="黑体" w:cs="Times New Roman"/>
          <w:b/>
          <w:bCs/>
          <w:color w:val="000000" w:themeColor="text1"/>
          <w:kern w:val="44"/>
          <w:sz w:val="44"/>
          <w:szCs w:val="44"/>
          <w:highlight w:val="none"/>
          <w14:textFill>
            <w14:solidFill>
              <w14:schemeClr w14:val="tx1"/>
            </w14:solidFill>
          </w14:textFill>
        </w:rPr>
        <w:t>（部分）</w:t>
      </w: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项目名称：</w:t>
      </w:r>
    </w:p>
    <w:p>
      <w:pPr>
        <w:tabs>
          <w:tab w:val="left" w:pos="3600"/>
          <w:tab w:val="left" w:pos="4480"/>
          <w:tab w:val="left" w:pos="536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400" w:lineRule="exact"/>
        <w:jc w:val="right"/>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（标注正本或副本处）</w:t>
      </w:r>
    </w:p>
    <w:p>
      <w:pPr>
        <w:tabs>
          <w:tab w:val="left" w:pos="6080"/>
          <w:tab w:val="left" w:pos="6640"/>
        </w:tabs>
        <w:autoSpaceDE w:val="0"/>
        <w:autoSpaceDN w:val="0"/>
        <w:adjustRightInd w:val="0"/>
        <w:snapToGrid w:val="0"/>
        <w:spacing w:line="400" w:lineRule="exact"/>
        <w:jc w:val="right"/>
        <w:rPr>
          <w:rFonts w:ascii="Times New Roman" w:hAnsi="Times New Roman" w:eastAsia="宋体" w:cs="Times New Roman"/>
          <w:b/>
          <w:color w:val="000000" w:themeColor="text1"/>
          <w:sz w:val="28"/>
          <w:szCs w:val="24"/>
          <w:highlight w:val="none"/>
          <w14:textFill>
            <w14:solidFill>
              <w14:schemeClr w14:val="tx1"/>
            </w14:solidFill>
          </w14:textFill>
        </w:rPr>
      </w:pPr>
    </w:p>
    <w:p>
      <w:pPr>
        <w:tabs>
          <w:tab w:val="left" w:pos="0"/>
          <w:tab w:val="left" w:pos="851"/>
          <w:tab w:val="left" w:pos="4480"/>
        </w:tabs>
        <w:autoSpaceDE w:val="0"/>
        <w:autoSpaceDN w:val="0"/>
        <w:adjustRightInd w:val="0"/>
        <w:snapToGrid w:val="0"/>
        <w:spacing w:line="840" w:lineRule="exact"/>
        <w:jc w:val="center"/>
        <w:rPr>
          <w:rFonts w:ascii="Times New Roman" w:hAnsi="Times New Roman" w:eastAsia="宋体" w:cs="Times New Roman"/>
          <w:b/>
          <w:color w:val="000000" w:themeColor="text1"/>
          <w:sz w:val="84"/>
          <w:szCs w:val="24"/>
          <w:highlight w:val="none"/>
          <w14:textFill>
            <w14:solidFill>
              <w14:schemeClr w14:val="tx1"/>
            </w14:solidFill>
          </w14:textFill>
        </w:rPr>
      </w:pPr>
    </w:p>
    <w:p>
      <w:pPr>
        <w:tabs>
          <w:tab w:val="left" w:pos="0"/>
          <w:tab w:val="left" w:pos="851"/>
          <w:tab w:val="left" w:pos="4480"/>
        </w:tabs>
        <w:autoSpaceDE w:val="0"/>
        <w:autoSpaceDN w:val="0"/>
        <w:adjustRightInd w:val="0"/>
        <w:snapToGrid w:val="0"/>
        <w:spacing w:line="840" w:lineRule="exact"/>
        <w:jc w:val="center"/>
        <w:rPr>
          <w:rFonts w:ascii="Times New Roman" w:hAnsi="Times New Roman" w:eastAsia="宋体" w:cs="Times New Roman"/>
          <w:b/>
          <w:color w:val="000000" w:themeColor="text1"/>
          <w:sz w:val="84"/>
          <w:szCs w:val="24"/>
          <w:highlight w:val="none"/>
          <w14:textFill>
            <w14:solidFill>
              <w14:schemeClr w14:val="tx1"/>
            </w14:solidFill>
          </w14:textFill>
        </w:rPr>
      </w:pPr>
      <w:r>
        <w:rPr>
          <w:rFonts w:ascii="Times New Roman" w:hAnsi="Times New Roman" w:eastAsia="宋体" w:cs="Times New Roman"/>
          <w:b/>
          <w:color w:val="000000" w:themeColor="text1"/>
          <w:sz w:val="84"/>
          <w:szCs w:val="24"/>
          <w:highlight w:val="none"/>
          <w14:textFill>
            <w14:solidFill>
              <w14:schemeClr w14:val="tx1"/>
            </w14:solidFill>
          </w14:textFill>
        </w:rPr>
        <w:t>投标文件</w:t>
      </w:r>
    </w:p>
    <w:p>
      <w:pPr>
        <w:tabs>
          <w:tab w:val="left" w:pos="0"/>
          <w:tab w:val="left" w:pos="851"/>
          <w:tab w:val="left" w:pos="4480"/>
        </w:tabs>
        <w:autoSpaceDE w:val="0"/>
        <w:autoSpaceDN w:val="0"/>
        <w:adjustRightInd w:val="0"/>
        <w:snapToGrid w:val="0"/>
        <w:spacing w:line="840" w:lineRule="exact"/>
        <w:jc w:val="center"/>
        <w:rPr>
          <w:rFonts w:ascii="Times New Roman" w:hAnsi="Times New Roman" w:eastAsia="宋体" w:cs="Times New Roman"/>
          <w:color w:val="000000" w:themeColor="text1"/>
          <w:sz w:val="32"/>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投标人全称</w:t>
      </w:r>
      <w:r>
        <w:rPr>
          <w:rFonts w:ascii="Times New Roman" w:hAnsi="Times New Roman" w:eastAsia="宋体" w:cs="Times New Roman"/>
          <w:b/>
          <w:color w:val="000000" w:themeColor="text1"/>
          <w:spacing w:val="1"/>
          <w:sz w:val="28"/>
          <w:szCs w:val="24"/>
          <w:highlight w:val="none"/>
          <w14:textFill>
            <w14:solidFill>
              <w14:schemeClr w14:val="tx1"/>
            </w14:solidFill>
          </w14:textFill>
        </w:rPr>
        <w:t>：</w:t>
      </w:r>
      <w:r>
        <w:rPr>
          <w:rFonts w:ascii="Times New Roman" w:hAnsi="Times New Roman" w:eastAsia="宋体" w:cs="Times New Roman"/>
          <w:b/>
          <w:color w:val="000000" w:themeColor="text1"/>
          <w:sz w:val="28"/>
          <w:szCs w:val="24"/>
          <w:highlight w:val="none"/>
          <w14:textFill>
            <w14:solidFill>
              <w14:schemeClr w14:val="tx1"/>
            </w14:solidFill>
          </w14:textFill>
        </w:rPr>
        <w:t>（盖单位公章）</w:t>
      </w: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法定代表人或其委托代理人：（签字</w:t>
      </w:r>
      <w:r>
        <w:rPr>
          <w:rFonts w:ascii="Times New Roman" w:hAnsi="Times New Roman" w:eastAsia="宋体" w:cs="Times New Roman"/>
          <w:b/>
          <w:color w:val="000000" w:themeColor="text1"/>
          <w:sz w:val="28"/>
          <w:szCs w:val="21"/>
          <w:highlight w:val="none"/>
          <w14:textFill>
            <w14:solidFill>
              <w14:schemeClr w14:val="tx1"/>
            </w14:solidFill>
          </w14:textFill>
        </w:rPr>
        <w:t>或盖章</w:t>
      </w:r>
      <w:r>
        <w:rPr>
          <w:rFonts w:ascii="Times New Roman" w:hAnsi="Times New Roman" w:eastAsia="宋体" w:cs="Times New Roman"/>
          <w:b/>
          <w:color w:val="000000" w:themeColor="text1"/>
          <w:sz w:val="28"/>
          <w:szCs w:val="24"/>
          <w:highlight w:val="none"/>
          <w14:textFill>
            <w14:solidFill>
              <w14:schemeClr w14:val="tx1"/>
            </w14:solidFill>
          </w14:textFill>
        </w:rPr>
        <w:t>）</w:t>
      </w:r>
    </w:p>
    <w:p>
      <w:pPr>
        <w:tabs>
          <w:tab w:val="left" w:pos="3280"/>
          <w:tab w:val="left" w:pos="4680"/>
          <w:tab w:val="left" w:pos="608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投标人地址：</w:t>
      </w:r>
    </w:p>
    <w:p>
      <w:pPr>
        <w:tabs>
          <w:tab w:val="left" w:pos="3280"/>
          <w:tab w:val="left" w:pos="4680"/>
          <w:tab w:val="left" w:pos="608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u w:val="singl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联系电话：</w:t>
      </w: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14:textFill>
            <w14:solidFill>
              <w14:schemeClr w14:val="tx1"/>
            </w14:solidFill>
          </w14:textFill>
        </w:rPr>
      </w:pPr>
      <w:r>
        <w:rPr>
          <w:rFonts w:ascii="Times New Roman" w:hAnsi="Times New Roman" w:eastAsia="宋体" w:cs="Times New Roman"/>
          <w:b/>
          <w:color w:val="000000" w:themeColor="text1"/>
          <w:sz w:val="28"/>
          <w:szCs w:val="24"/>
          <w:highlight w:val="none"/>
          <w14:textFill>
            <w14:solidFill>
              <w14:schemeClr w14:val="tx1"/>
            </w14:solidFill>
          </w14:textFill>
        </w:rPr>
        <w:t>年月日</w:t>
      </w:r>
    </w:p>
    <w:p>
      <w:pPr>
        <w:spacing w:line="400" w:lineRule="exact"/>
        <w:ind w:firstLine="720" w:firstLineChars="200"/>
        <w:rPr>
          <w:rFonts w:ascii="Times New Roman" w:hAnsi="Times New Roman" w:eastAsia="宋体" w:cs="Times New Roman"/>
          <w:color w:val="000000" w:themeColor="text1"/>
          <w:sz w:val="36"/>
          <w:szCs w:val="24"/>
          <w:highlight w:val="none"/>
          <w14:textFill>
            <w14:solidFill>
              <w14:schemeClr w14:val="tx1"/>
            </w14:solidFill>
          </w14:textFill>
        </w:rPr>
      </w:pPr>
    </w:p>
    <w:p>
      <w:pPr>
        <w:spacing w:line="400" w:lineRule="exact"/>
        <w:rPr>
          <w:rFonts w:ascii="Times New Roman" w:hAnsi="Times New Roman" w:eastAsia="宋体" w:cs="Times New Roman"/>
          <w:color w:val="000000" w:themeColor="text1"/>
          <w:sz w:val="36"/>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br w:type="page"/>
      </w:r>
    </w:p>
    <w:p>
      <w:pPr>
        <w:tabs>
          <w:tab w:val="left" w:pos="142"/>
        </w:tabs>
        <w:autoSpaceDE w:val="0"/>
        <w:autoSpaceDN w:val="0"/>
        <w:adjustRightInd w:val="0"/>
        <w:snapToGrid w:val="0"/>
        <w:spacing w:line="400" w:lineRule="exact"/>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目录</w:t>
      </w: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t>（投标人自拟）</w:t>
      </w:r>
    </w:p>
    <w:p>
      <w:pPr>
        <w:spacing w:line="400" w:lineRule="exact"/>
        <w:ind w:firstLine="720" w:firstLineChars="200"/>
        <w:rPr>
          <w:rFonts w:ascii="Times New Roman" w:hAnsi="Times New Roman" w:eastAsia="宋体" w:cs="Times New Roman"/>
          <w:color w:val="000000" w:themeColor="text1"/>
          <w:sz w:val="36"/>
          <w:szCs w:val="24"/>
          <w:highlight w:val="none"/>
          <w14:textFill>
            <w14:solidFill>
              <w14:schemeClr w14:val="tx1"/>
            </w14:solidFill>
          </w14:textFill>
        </w:rPr>
      </w:pPr>
    </w:p>
    <w:p>
      <w:pPr>
        <w:spacing w:line="400" w:lineRule="exac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36"/>
          <w:szCs w:val="24"/>
          <w:highlight w:val="none"/>
          <w14:textFill>
            <w14:solidFill>
              <w14:schemeClr w14:val="tx1"/>
            </w14:solidFill>
          </w14:textFill>
        </w:rPr>
        <w:br w:type="page"/>
      </w: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Cs w:val="28"/>
          <w:highlight w:val="none"/>
          <w14:textFill>
            <w14:solidFill>
              <w14:schemeClr w14:val="tx1"/>
            </w14:solidFill>
          </w14:textFill>
        </w:rPr>
      </w:pP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Cs w:val="28"/>
          <w:highlight w:val="none"/>
          <w14:textFill>
            <w14:solidFill>
              <w14:schemeClr w14:val="tx1"/>
            </w14:solidFill>
          </w14:textFill>
        </w:rPr>
      </w:pPr>
    </w:p>
    <w:p>
      <w:pPr>
        <w:spacing w:line="400" w:lineRule="exact"/>
        <w:jc w:val="center"/>
        <w:rPr>
          <w:rFonts w:ascii="Times New Roman" w:hAnsi="Times New Roman" w:eastAsia="宋体" w:cs="Times New Roman"/>
          <w:b/>
          <w:color w:val="000000" w:themeColor="text1"/>
          <w:sz w:val="44"/>
          <w:szCs w:val="44"/>
          <w:highlight w:val="none"/>
          <w14:textFill>
            <w14:solidFill>
              <w14:schemeClr w14:val="tx1"/>
            </w14:solidFill>
          </w14:textFill>
        </w:rPr>
      </w:pPr>
      <w:bookmarkStart w:id="156" w:name="_Toc354044647"/>
    </w:p>
    <w:p>
      <w:pPr>
        <w:spacing w:line="400" w:lineRule="exact"/>
        <w:jc w:val="center"/>
        <w:outlineLvl w:val="1"/>
        <w:rPr>
          <w:rFonts w:ascii="Times New Roman" w:hAnsi="Times New Roman" w:eastAsia="宋体" w:cs="Times New Roman"/>
          <w:b/>
          <w:color w:val="000000" w:themeColor="text1"/>
          <w:sz w:val="44"/>
          <w:szCs w:val="44"/>
          <w:highlight w:val="none"/>
          <w14:textFill>
            <w14:solidFill>
              <w14:schemeClr w14:val="tx1"/>
            </w14:solidFill>
          </w14:textFill>
        </w:rPr>
      </w:pPr>
      <w:bookmarkStart w:id="157" w:name="_Toc23062"/>
      <w:r>
        <w:rPr>
          <w:rFonts w:ascii="Times New Roman" w:hAnsi="Times New Roman" w:eastAsia="宋体" w:cs="Times New Roman"/>
          <w:b/>
          <w:color w:val="000000" w:themeColor="text1"/>
          <w:sz w:val="44"/>
          <w:szCs w:val="44"/>
          <w:highlight w:val="none"/>
          <w14:textFill>
            <w14:solidFill>
              <w14:schemeClr w14:val="tx1"/>
            </w14:solidFill>
          </w14:textFill>
        </w:rPr>
        <w:t>A：投标函</w:t>
      </w:r>
      <w:bookmarkEnd w:id="156"/>
      <w:r>
        <w:rPr>
          <w:rFonts w:ascii="Times New Roman" w:hAnsi="Times New Roman" w:eastAsia="宋体" w:cs="Times New Roman"/>
          <w:b/>
          <w:color w:val="000000" w:themeColor="text1"/>
          <w:sz w:val="44"/>
          <w:szCs w:val="44"/>
          <w:highlight w:val="none"/>
          <w14:textFill>
            <w14:solidFill>
              <w14:schemeClr w14:val="tx1"/>
            </w14:solidFill>
          </w14:textFill>
        </w:rPr>
        <w:t>部分</w:t>
      </w:r>
      <w:bookmarkEnd w:id="157"/>
    </w:p>
    <w:p>
      <w:pPr>
        <w:spacing w:line="400" w:lineRule="exact"/>
        <w:ind w:firstLine="420" w:firstLineChars="200"/>
        <w:jc w:val="center"/>
        <w:rPr>
          <w:rFonts w:ascii="Times New Roman" w:hAnsi="Times New Roman" w:eastAsia="宋体" w:cs="Times New Roman"/>
          <w:b/>
          <w:color w:val="000000" w:themeColor="text1"/>
          <w:sz w:val="32"/>
          <w:szCs w:val="32"/>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br w:type="page"/>
      </w:r>
      <w:bookmarkStart w:id="158" w:name="_Toc11061"/>
      <w:r>
        <w:rPr>
          <w:rFonts w:ascii="Times New Roman" w:hAnsi="Times New Roman" w:eastAsia="宋体" w:cs="Times New Roman"/>
          <w:b/>
          <w:color w:val="000000" w:themeColor="text1"/>
          <w:sz w:val="32"/>
          <w:szCs w:val="32"/>
          <w:highlight w:val="none"/>
          <w14:textFill>
            <w14:solidFill>
              <w14:schemeClr w14:val="tx1"/>
            </w14:solidFill>
          </w14:textFill>
        </w:rPr>
        <w:t>1.投标函</w:t>
      </w:r>
      <w:bookmarkEnd w:id="158"/>
    </w:p>
    <w:p>
      <w:pPr>
        <w:spacing w:line="400" w:lineRule="exact"/>
        <w:ind w:firstLine="643" w:firstLineChars="200"/>
        <w:jc w:val="center"/>
        <w:rPr>
          <w:rFonts w:ascii="Times New Roman" w:hAnsi="Times New Roman" w:eastAsia="宋体" w:cs="Times New Roman"/>
          <w:b/>
          <w:color w:val="000000" w:themeColor="text1"/>
          <w:sz w:val="32"/>
          <w:szCs w:val="32"/>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u w:val="single"/>
          <w14:textFill>
            <w14:solidFill>
              <w14:schemeClr w14:val="tx1"/>
            </w14:solidFill>
          </w14:textFill>
        </w:rPr>
        <w:t>致：                （招标人）</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我方收到____________________________（项目名称）的招标文件，经详细研究，决定参加该项目的投标。</w:t>
      </w:r>
    </w:p>
    <w:p>
      <w:pPr>
        <w:tabs>
          <w:tab w:val="left" w:pos="6300"/>
        </w:tabs>
        <w:snapToGrid w:val="0"/>
        <w:spacing w:line="400" w:lineRule="exact"/>
        <w:ind w:left="80" w:leftChars="38" w:firstLine="600" w:firstLineChars="250"/>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1、愿意按照招标文件中的一切要求，提供完成本项目的所有服务工作，投标总报价（整体包干价）为人民币大写：</w:t>
      </w:r>
      <w:r>
        <w:rPr>
          <w:rFonts w:hint="eastAsia" w:ascii="Times New Roman" w:hAnsi="Times New Roman" w:eastAsia="宋体" w:cs="Times New Roman"/>
          <w:color w:val="000000" w:themeColor="text1"/>
          <w:sz w:val="24"/>
          <w:szCs w:val="21"/>
          <w:highlight w:val="none"/>
          <w14:textFill>
            <w14:solidFill>
              <w14:schemeClr w14:val="tx1"/>
            </w14:solidFill>
          </w14:textFill>
        </w:rPr>
        <w:t>，</w:t>
      </w:r>
      <w:r>
        <w:rPr>
          <w:rFonts w:ascii="Times New Roman" w:hAnsi="Times New Roman" w:eastAsia="宋体" w:cs="Times New Roman"/>
          <w:color w:val="000000" w:themeColor="text1"/>
          <w:sz w:val="24"/>
          <w:szCs w:val="21"/>
          <w:highlight w:val="none"/>
          <w14:textFill>
            <w14:solidFill>
              <w14:schemeClr w14:val="tx1"/>
            </w14:solidFill>
          </w14:textFill>
        </w:rPr>
        <w:t>人民币小写：。</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2、我们现提交的投标文件：正本</w:t>
      </w:r>
      <w:r>
        <w:rPr>
          <w:rFonts w:hint="eastAsia" w:ascii="Times New Roman" w:hAnsi="Times New Roman" w:eastAsia="宋体" w:cs="Times New Roman"/>
          <w:color w:val="000000" w:themeColor="text1"/>
          <w:sz w:val="24"/>
          <w:szCs w:val="21"/>
          <w:highlight w:val="none"/>
          <w:u w:val="single"/>
          <w14:textFill>
            <w14:solidFill>
              <w14:schemeClr w14:val="tx1"/>
            </w14:solidFill>
          </w14:textFill>
        </w:rPr>
        <w:t>壹</w:t>
      </w:r>
      <w:r>
        <w:rPr>
          <w:rFonts w:ascii="Times New Roman" w:hAnsi="Times New Roman" w:eastAsia="宋体" w:cs="Times New Roman"/>
          <w:color w:val="000000" w:themeColor="text1"/>
          <w:sz w:val="24"/>
          <w:szCs w:val="21"/>
          <w:highlight w:val="none"/>
          <w14:textFill>
            <w14:solidFill>
              <w14:schemeClr w14:val="tx1"/>
            </w14:solidFill>
          </w14:textFill>
        </w:rPr>
        <w:t>份，副本</w:t>
      </w:r>
      <w:r>
        <w:rPr>
          <w:rFonts w:hint="eastAsia" w:ascii="Times New Roman" w:hAnsi="Times New Roman" w:eastAsia="宋体" w:cs="Times New Roman"/>
          <w:color w:val="000000" w:themeColor="text1"/>
          <w:sz w:val="24"/>
          <w:szCs w:val="21"/>
          <w:highlight w:val="none"/>
          <w:u w:val="single"/>
          <w14:textFill>
            <w14:solidFill>
              <w14:schemeClr w14:val="tx1"/>
            </w14:solidFill>
          </w14:textFill>
        </w:rPr>
        <w:t>壹</w:t>
      </w:r>
      <w:r>
        <w:rPr>
          <w:rFonts w:ascii="Times New Roman" w:hAnsi="Times New Roman" w:eastAsia="宋体" w:cs="Times New Roman"/>
          <w:color w:val="000000" w:themeColor="text1"/>
          <w:sz w:val="24"/>
          <w:szCs w:val="21"/>
          <w:highlight w:val="none"/>
          <w14:textFill>
            <w14:solidFill>
              <w14:schemeClr w14:val="tx1"/>
            </w14:solidFill>
          </w14:textFill>
        </w:rPr>
        <w:t>份，电子文本</w:t>
      </w:r>
      <w:r>
        <w:rPr>
          <w:rFonts w:hint="eastAsia" w:ascii="Times New Roman" w:hAnsi="Times New Roman" w:eastAsia="宋体" w:cs="Times New Roman"/>
          <w:color w:val="000000" w:themeColor="text1"/>
          <w:sz w:val="24"/>
          <w:szCs w:val="21"/>
          <w:highlight w:val="none"/>
          <w:u w:val="single"/>
          <w14:textFill>
            <w14:solidFill>
              <w14:schemeClr w14:val="tx1"/>
            </w14:solidFill>
          </w14:textFill>
        </w:rPr>
        <w:t>贰</w:t>
      </w:r>
      <w:r>
        <w:rPr>
          <w:rFonts w:ascii="Times New Roman" w:hAnsi="Times New Roman" w:eastAsia="宋体" w:cs="Times New Roman"/>
          <w:color w:val="000000" w:themeColor="text1"/>
          <w:sz w:val="24"/>
          <w:szCs w:val="21"/>
          <w:highlight w:val="none"/>
          <w14:textFill>
            <w14:solidFill>
              <w14:schemeClr w14:val="tx1"/>
            </w14:solidFill>
          </w14:textFill>
        </w:rPr>
        <w:t>份。</w:t>
      </w:r>
    </w:p>
    <w:p>
      <w:pPr>
        <w:spacing w:line="400" w:lineRule="exact"/>
        <w:ind w:firstLine="555"/>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3、我们完全理解和接受贵方招标文件的一切规定和要求，完全答应招标文件中规定的所有条件和评审办法。</w:t>
      </w:r>
    </w:p>
    <w:p>
      <w:pPr>
        <w:spacing w:line="400" w:lineRule="exact"/>
        <w:ind w:firstLine="555"/>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4、在整个投标过程中，我方若有违规行为，贵方可按《中华人民共和招标投标法》等法律法规和《招标文件》之规定给予惩罚，我方完全接受。</w:t>
      </w:r>
    </w:p>
    <w:p>
      <w:pPr>
        <w:spacing w:line="400" w:lineRule="exact"/>
        <w:ind w:firstLine="555"/>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5、若我们成为中标人，我方将按照评标结果签订合同，并且严格履行合同义务。本投标函将成为合同不可分割的一部分，与合同具有同等的法律效力。</w:t>
      </w:r>
    </w:p>
    <w:p>
      <w:pPr>
        <w:spacing w:line="400" w:lineRule="exact"/>
        <w:ind w:firstLine="555"/>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6、我方同意按招标文件规定，交纳招标文件要求的投标保证金。如果我方成为中标人，保证在接到中标通知书时，向招标代理机构交纳采购代理服务费。</w:t>
      </w:r>
    </w:p>
    <w:p>
      <w:pPr>
        <w:spacing w:line="400" w:lineRule="exact"/>
        <w:ind w:firstLine="555"/>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7、投标有效期为90日</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570"/>
        <w:rPr>
          <w:rFonts w:ascii="Times New Roman" w:hAnsi="Times New Roman" w:eastAsia="宋体" w:cs="Times New Roman"/>
          <w:b/>
          <w:color w:val="000000" w:themeColor="text1"/>
          <w:sz w:val="24"/>
          <w:szCs w:val="21"/>
          <w:highlight w:val="none"/>
          <w14:textFill>
            <w14:solidFill>
              <w14:schemeClr w14:val="tx1"/>
            </w14:solidFill>
          </w14:textFill>
        </w:rPr>
      </w:pPr>
      <w:r>
        <w:rPr>
          <w:rFonts w:ascii="Times New Roman" w:hAnsi="Times New Roman" w:eastAsia="宋体" w:cs="Times New Roman"/>
          <w:b/>
          <w:color w:val="000000" w:themeColor="text1"/>
          <w:sz w:val="24"/>
          <w:szCs w:val="21"/>
          <w:highlight w:val="none"/>
          <w14:textFill>
            <w14:solidFill>
              <w14:schemeClr w14:val="tx1"/>
            </w14:solidFill>
          </w14:textFill>
        </w:rPr>
        <w:t>投标人（公章）：</w:t>
      </w:r>
    </w:p>
    <w:p>
      <w:pPr>
        <w:spacing w:line="400" w:lineRule="exact"/>
        <w:ind w:firstLine="602" w:firstLineChars="250"/>
        <w:rPr>
          <w:rFonts w:ascii="Times New Roman" w:hAnsi="Times New Roman" w:eastAsia="宋体" w:cs="Times New Roman"/>
          <w:b/>
          <w:color w:val="000000" w:themeColor="text1"/>
          <w:sz w:val="24"/>
          <w:szCs w:val="21"/>
          <w:highlight w:val="none"/>
          <w14:textFill>
            <w14:solidFill>
              <w14:schemeClr w14:val="tx1"/>
            </w14:solidFill>
          </w14:textFill>
        </w:rPr>
      </w:pPr>
      <w:r>
        <w:rPr>
          <w:rFonts w:ascii="Times New Roman" w:hAnsi="Times New Roman" w:eastAsia="宋体" w:cs="Times New Roman"/>
          <w:b/>
          <w:color w:val="000000" w:themeColor="text1"/>
          <w:sz w:val="24"/>
          <w:szCs w:val="21"/>
          <w:highlight w:val="none"/>
          <w14:textFill>
            <w14:solidFill>
              <w14:schemeClr w14:val="tx1"/>
            </w14:solidFill>
          </w14:textFill>
        </w:rPr>
        <w:t>法定代表人或其委托代理人：（盖章或签字）</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地址：</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电话：传真：</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邮编：</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邮箱：</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联系人：</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年月日</w:t>
      </w:r>
    </w:p>
    <w:p>
      <w:pPr>
        <w:spacing w:line="400" w:lineRule="exact"/>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400" w:lineRule="exact"/>
        <w:jc w:val="center"/>
        <w:rPr>
          <w:rFonts w:ascii="Times New Roman" w:hAnsi="Times New Roman" w:eastAsia="宋体" w:cs="Times New Roman"/>
          <w:b/>
          <w:color w:val="000000" w:themeColor="text1"/>
          <w:sz w:val="32"/>
          <w:szCs w:val="32"/>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br w:type="page"/>
      </w:r>
      <w:r>
        <w:rPr>
          <w:rFonts w:ascii="Times New Roman" w:hAnsi="Times New Roman" w:eastAsia="宋体" w:cs="Times New Roman"/>
          <w:color w:val="000000" w:themeColor="text1"/>
          <w:sz w:val="32"/>
          <w:szCs w:val="32"/>
          <w:highlight w:val="none"/>
          <w14:textFill>
            <w14:solidFill>
              <w14:schemeClr w14:val="tx1"/>
            </w14:solidFill>
          </w14:textFill>
        </w:rPr>
        <w:t>1.1</w:t>
      </w:r>
      <w:r>
        <w:rPr>
          <w:rFonts w:ascii="Times New Roman" w:hAnsi="Times New Roman" w:eastAsia="宋体" w:cs="Times New Roman"/>
          <w:b/>
          <w:color w:val="000000" w:themeColor="text1"/>
          <w:sz w:val="32"/>
          <w:szCs w:val="32"/>
          <w:highlight w:val="none"/>
          <w14:textFill>
            <w14:solidFill>
              <w14:schemeClr w14:val="tx1"/>
            </w14:solidFill>
          </w14:textFill>
        </w:rPr>
        <w:t>报价明细表</w:t>
      </w:r>
    </w:p>
    <w:p>
      <w:pPr>
        <w:jc w:val="left"/>
        <w:rPr>
          <w:rFonts w:ascii="Calibri" w:hAnsi="Calibri" w:eastAsia="新宋体" w:cs="Times New Roman"/>
          <w:color w:val="000000" w:themeColor="text1"/>
          <w:sz w:val="22"/>
          <w:szCs w:val="24"/>
          <w:highlight w:val="none"/>
          <w14:textFill>
            <w14:solidFill>
              <w14:schemeClr w14:val="tx1"/>
            </w14:solidFill>
          </w14:textFill>
        </w:rPr>
      </w:pPr>
    </w:p>
    <w:p>
      <w:pPr>
        <w:jc w:val="left"/>
        <w:rPr>
          <w:rFonts w:ascii="Calibri" w:hAnsi="Calibri" w:eastAsia="新宋体" w:cs="Times New Roman"/>
          <w:color w:val="000000" w:themeColor="text1"/>
          <w:sz w:val="22"/>
          <w:szCs w:val="24"/>
          <w:highlight w:val="none"/>
          <w14:textFill>
            <w14:solidFill>
              <w14:schemeClr w14:val="tx1"/>
            </w14:solidFill>
          </w14:textFill>
        </w:rPr>
      </w:pPr>
    </w:p>
    <w:tbl>
      <w:tblPr>
        <w:tblStyle w:val="58"/>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3"/>
        <w:gridCol w:w="3652"/>
        <w:gridCol w:w="29"/>
        <w:gridCol w:w="36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998" w:type="dxa"/>
            <w:gridSpan w:val="2"/>
            <w:vAlign w:val="center"/>
          </w:tcPr>
          <w:p>
            <w:pPr>
              <w:adjustRightInd w:val="0"/>
              <w:snapToGrid w:val="0"/>
              <w:spacing w:line="400" w:lineRule="exact"/>
              <w:jc w:val="center"/>
              <w:rPr>
                <w:rFonts w:ascii="宋体" w:hAnsi="宋体" w:eastAsia="宋体" w:cs="宋体"/>
                <w:b/>
                <w:color w:val="000000" w:themeColor="text1"/>
                <w:kern w:val="0"/>
                <w:sz w:val="22"/>
                <w:szCs w:val="28"/>
                <w:highlight w:val="none"/>
                <w14:textFill>
                  <w14:solidFill>
                    <w14:schemeClr w14:val="tx1"/>
                  </w14:solidFill>
                </w14:textFill>
              </w:rPr>
            </w:pPr>
            <w:r>
              <w:rPr>
                <w:rFonts w:hint="eastAsia" w:ascii="宋体" w:hAnsi="宋体" w:eastAsia="宋体" w:cs="宋体"/>
                <w:b/>
                <w:color w:val="000000" w:themeColor="text1"/>
                <w:kern w:val="0"/>
                <w:sz w:val="22"/>
                <w:szCs w:val="28"/>
                <w:highlight w:val="none"/>
                <w14:textFill>
                  <w14:solidFill>
                    <w14:schemeClr w14:val="tx1"/>
                  </w14:solidFill>
                </w14:textFill>
              </w:rPr>
              <w:t>序号</w:t>
            </w:r>
          </w:p>
        </w:tc>
        <w:tc>
          <w:tcPr>
            <w:tcW w:w="3681" w:type="dxa"/>
            <w:gridSpan w:val="2"/>
            <w:vAlign w:val="center"/>
          </w:tcPr>
          <w:p>
            <w:pPr>
              <w:adjustRightInd w:val="0"/>
              <w:snapToGrid w:val="0"/>
              <w:spacing w:line="400" w:lineRule="exact"/>
              <w:jc w:val="center"/>
              <w:rPr>
                <w:rFonts w:ascii="宋体" w:hAnsi="宋体" w:eastAsia="宋体" w:cs="宋体"/>
                <w:b/>
                <w:color w:val="000000" w:themeColor="text1"/>
                <w:kern w:val="0"/>
                <w:sz w:val="22"/>
                <w:szCs w:val="28"/>
                <w:highlight w:val="none"/>
                <w14:textFill>
                  <w14:solidFill>
                    <w14:schemeClr w14:val="tx1"/>
                  </w14:solidFill>
                </w14:textFill>
              </w:rPr>
            </w:pPr>
            <w:r>
              <w:rPr>
                <w:rFonts w:hint="eastAsia" w:ascii="宋体" w:hAnsi="宋体" w:eastAsia="宋体" w:cs="宋体"/>
                <w:b/>
                <w:color w:val="000000" w:themeColor="text1"/>
                <w:kern w:val="0"/>
                <w:sz w:val="22"/>
                <w:szCs w:val="28"/>
                <w:highlight w:val="none"/>
                <w14:textFill>
                  <w14:solidFill>
                    <w14:schemeClr w14:val="tx1"/>
                  </w14:solidFill>
                </w14:textFill>
              </w:rPr>
              <w:t>采购内容</w:t>
            </w:r>
          </w:p>
        </w:tc>
        <w:tc>
          <w:tcPr>
            <w:tcW w:w="4819" w:type="dxa"/>
            <w:gridSpan w:val="2"/>
            <w:vAlign w:val="center"/>
          </w:tcPr>
          <w:p>
            <w:pPr>
              <w:adjustRightInd w:val="0"/>
              <w:snapToGrid w:val="0"/>
              <w:spacing w:line="400" w:lineRule="exact"/>
              <w:jc w:val="center"/>
              <w:rPr>
                <w:rFonts w:ascii="宋体" w:hAnsi="宋体" w:eastAsia="宋体" w:cs="宋体"/>
                <w:b/>
                <w:color w:val="000000" w:themeColor="text1"/>
                <w:kern w:val="0"/>
                <w:sz w:val="22"/>
                <w:szCs w:val="28"/>
                <w:highlight w:val="none"/>
                <w14:textFill>
                  <w14:solidFill>
                    <w14:schemeClr w14:val="tx1"/>
                  </w14:solidFill>
                </w14:textFill>
              </w:rPr>
            </w:pPr>
            <w:r>
              <w:rPr>
                <w:rFonts w:hint="eastAsia" w:ascii="宋体" w:hAnsi="宋体" w:eastAsia="宋体" w:cs="宋体"/>
                <w:b/>
                <w:color w:val="000000" w:themeColor="text1"/>
                <w:kern w:val="0"/>
                <w:sz w:val="22"/>
                <w:szCs w:val="28"/>
                <w:highlight w:val="none"/>
                <w14:textFill>
                  <w14:solidFill>
                    <w14:schemeClr w14:val="tx1"/>
                  </w14:solidFill>
                </w14:textFill>
              </w:rPr>
              <w:t>投标总报价</w:t>
            </w:r>
          </w:p>
          <w:p>
            <w:pPr>
              <w:adjustRightInd w:val="0"/>
              <w:snapToGrid w:val="0"/>
              <w:spacing w:line="400" w:lineRule="exact"/>
              <w:jc w:val="center"/>
              <w:rPr>
                <w:rFonts w:ascii="宋体" w:hAnsi="宋体" w:eastAsia="宋体" w:cs="宋体"/>
                <w:b/>
                <w:color w:val="000000" w:themeColor="text1"/>
                <w:kern w:val="0"/>
                <w:sz w:val="22"/>
                <w:szCs w:val="28"/>
                <w:highlight w:val="none"/>
                <w14:textFill>
                  <w14:solidFill>
                    <w14:schemeClr w14:val="tx1"/>
                  </w14:solidFill>
                </w14:textFill>
              </w:rPr>
            </w:pPr>
            <w:r>
              <w:rPr>
                <w:rFonts w:hint="eastAsia" w:ascii="宋体" w:hAnsi="宋体" w:eastAsia="宋体" w:cs="宋体"/>
                <w:b/>
                <w:color w:val="000000" w:themeColor="text1"/>
                <w:kern w:val="0"/>
                <w:sz w:val="22"/>
                <w:szCs w:val="28"/>
                <w:highlight w:val="none"/>
                <w14:textFill>
                  <w14:solidFill>
                    <w14:schemeClr w14:val="tx1"/>
                  </w14:solidFill>
                </w14:textFill>
              </w:rPr>
              <w:t>（人民币小写，单位：万元）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98" w:type="dxa"/>
            <w:gridSpan w:val="2"/>
            <w:vAlign w:val="center"/>
          </w:tcPr>
          <w:p>
            <w:pPr>
              <w:adjustRightInd w:val="0"/>
              <w:snapToGrid w:val="0"/>
              <w:spacing w:line="400" w:lineRule="exact"/>
              <w:jc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w:t>
            </w:r>
          </w:p>
        </w:tc>
        <w:tc>
          <w:tcPr>
            <w:tcW w:w="3681" w:type="dxa"/>
            <w:gridSpan w:val="2"/>
            <w:vAlign w:val="center"/>
          </w:tcPr>
          <w:p>
            <w:pPr>
              <w:adjustRightInd w:val="0"/>
              <w:snapToGrid w:val="0"/>
              <w:spacing w:line="320" w:lineRule="exact"/>
              <w:jc w:val="center"/>
              <w:rPr>
                <w:rFonts w:ascii="宋体" w:hAnsi="宋体" w:eastAsia="宋体" w:cs="Times New Roman"/>
                <w:color w:val="000000" w:themeColor="text1"/>
                <w:sz w:val="22"/>
                <w:highlight w:val="none"/>
                <w14:textFill>
                  <w14:solidFill>
                    <w14:schemeClr w14:val="tx1"/>
                  </w14:solidFill>
                </w14:textFill>
              </w:rPr>
            </w:pPr>
            <w:r>
              <w:rPr>
                <w:rFonts w:hint="eastAsia" w:ascii="宋体" w:hAnsi="宋体" w:eastAsia="宋体" w:cs="宋体"/>
                <w:b/>
                <w:color w:val="000000" w:themeColor="text1"/>
                <w:kern w:val="0"/>
                <w:sz w:val="22"/>
                <w:szCs w:val="28"/>
                <w:highlight w:val="none"/>
                <w14:textFill>
                  <w14:solidFill>
                    <w14:schemeClr w14:val="tx1"/>
                  </w14:solidFill>
                </w14:textFill>
              </w:rPr>
              <w:t>监管统计报表系统</w:t>
            </w:r>
          </w:p>
        </w:tc>
        <w:tc>
          <w:tcPr>
            <w:tcW w:w="4819" w:type="dxa"/>
            <w:gridSpan w:val="2"/>
            <w:vAlign w:val="center"/>
          </w:tcPr>
          <w:p>
            <w:pPr>
              <w:adjustRightInd w:val="0"/>
              <w:snapToGrid w:val="0"/>
              <w:spacing w:line="400" w:lineRule="exact"/>
              <w:jc w:val="left"/>
              <w:rPr>
                <w:rFonts w:ascii="宋体" w:hAnsi="宋体" w:eastAsia="宋体" w:cs="宋体"/>
                <w:color w:val="000000" w:themeColor="text1"/>
                <w:kern w:val="0"/>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9" w:hRule="atLeast"/>
        </w:trPr>
        <w:tc>
          <w:tcPr>
            <w:tcW w:w="4679" w:type="dxa"/>
            <w:gridSpan w:val="4"/>
            <w:tcBorders>
              <w:bottom w:val="single" w:color="auto" w:sz="4" w:space="0"/>
            </w:tcBorders>
            <w:vAlign w:val="center"/>
          </w:tcPr>
          <w:p>
            <w:pPr>
              <w:widowControl/>
              <w:jc w:val="center"/>
              <w:rPr>
                <w:color w:val="000000" w:themeColor="text1"/>
                <w:highlight w:val="none"/>
                <w14:textFill>
                  <w14:solidFill>
                    <w14:schemeClr w14:val="tx1"/>
                  </w14:solidFill>
                </w14:textFill>
              </w:rPr>
            </w:pPr>
            <w:r>
              <w:rPr>
                <w:rFonts w:hint="eastAsia" w:ascii="宋体" w:hAnsi="宋体" w:eastAsia="宋体" w:cs="宋体"/>
                <w:b/>
                <w:color w:val="000000" w:themeColor="text1"/>
                <w:kern w:val="0"/>
                <w:sz w:val="22"/>
                <w:szCs w:val="28"/>
                <w:highlight w:val="none"/>
                <w14:textFill>
                  <w14:solidFill>
                    <w14:schemeClr w14:val="tx1"/>
                  </w14:solidFill>
                </w14:textFill>
              </w:rPr>
              <w:t>投标总报价</w:t>
            </w:r>
            <w:r>
              <w:rPr>
                <w:rFonts w:hint="eastAsia" w:ascii="宋体" w:hAnsi="宋体" w:eastAsia="宋体" w:cs="Times New Roman"/>
                <w:b/>
                <w:color w:val="000000" w:themeColor="text1"/>
                <w:sz w:val="22"/>
                <w:szCs w:val="28"/>
                <w:highlight w:val="none"/>
                <w14:textFill>
                  <w14:solidFill>
                    <w14:schemeClr w14:val="tx1"/>
                  </w14:solidFill>
                </w14:textFill>
              </w:rPr>
              <w:t>（人民币大写）</w:t>
            </w:r>
          </w:p>
        </w:tc>
        <w:tc>
          <w:tcPr>
            <w:tcW w:w="4819" w:type="dxa"/>
            <w:gridSpan w:val="2"/>
            <w:tcBorders>
              <w:bottom w:val="single" w:color="auto" w:sz="4" w:space="0"/>
            </w:tcBorders>
            <w:vAlign w:val="center"/>
          </w:tcPr>
          <w:p>
            <w:pPr>
              <w:widowControl/>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9498" w:type="dxa"/>
            <w:gridSpan w:val="6"/>
            <w:shd w:val="clear" w:color="auto" w:fill="A5A5A5" w:themeFill="background1" w:themeFillShade="A6"/>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以下费用不计入总报价，但要进行评审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975" w:type="dxa"/>
            <w:shd w:val="clear" w:color="auto" w:fill="FFFFFF" w:themeFill="background1"/>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3675" w:type="dxa"/>
            <w:gridSpan w:val="2"/>
            <w:shd w:val="clear" w:color="auto" w:fill="FFFFFF" w:themeFill="background1"/>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采购内容</w:t>
            </w:r>
          </w:p>
        </w:tc>
        <w:tc>
          <w:tcPr>
            <w:tcW w:w="3714" w:type="dxa"/>
            <w:gridSpan w:val="2"/>
            <w:shd w:val="clear" w:color="auto" w:fill="FFFFFF" w:themeFill="background1"/>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投标报价</w:t>
            </w:r>
          </w:p>
        </w:tc>
        <w:tc>
          <w:tcPr>
            <w:tcW w:w="1134" w:type="dxa"/>
            <w:shd w:val="clear" w:color="auto" w:fill="FFFFFF" w:themeFill="background1"/>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975" w:type="dxa"/>
            <w:shd w:val="clear" w:color="auto" w:fill="FFFFFF" w:themeFill="background1"/>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3675" w:type="dxa"/>
            <w:gridSpan w:val="2"/>
            <w:shd w:val="clear" w:color="auto" w:fill="FFFFFF" w:themeFill="background1"/>
            <w:vAlign w:val="center"/>
          </w:tcPr>
          <w:p>
            <w:pPr>
              <w:widowControl/>
              <w:jc w:val="left"/>
              <w:rPr>
                <w:color w:val="000000" w:themeColor="text1"/>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后续驻场开发人月单价</w:t>
            </w:r>
          </w:p>
        </w:tc>
        <w:tc>
          <w:tcPr>
            <w:tcW w:w="3714" w:type="dxa"/>
            <w:gridSpan w:val="2"/>
            <w:shd w:val="clear" w:color="auto" w:fill="FFFFFF" w:themeFill="background1"/>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万元/人月</w:t>
            </w:r>
          </w:p>
        </w:tc>
        <w:tc>
          <w:tcPr>
            <w:tcW w:w="1134" w:type="dxa"/>
            <w:shd w:val="clear" w:color="auto" w:fill="FFFFFF" w:themeFill="background1"/>
            <w:vAlign w:val="center"/>
          </w:tcPr>
          <w:p>
            <w:pPr>
              <w:widowControl/>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975" w:type="dxa"/>
            <w:shd w:val="clear" w:color="auto" w:fill="FFFFFF" w:themeFill="background1"/>
            <w:vAlign w:val="center"/>
          </w:tcPr>
          <w:p>
            <w:pPr>
              <w:widowControl/>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3675" w:type="dxa"/>
            <w:gridSpan w:val="2"/>
            <w:shd w:val="clear" w:color="auto" w:fill="FFFFFF" w:themeFill="background1"/>
            <w:vAlign w:val="center"/>
          </w:tcPr>
          <w:p>
            <w:pPr>
              <w:widowControl/>
              <w:jc w:val="left"/>
              <w:rPr>
                <w:color w:val="000000" w:themeColor="text1"/>
                <w:highlight w:val="none"/>
                <w14:textFill>
                  <w14:solidFill>
                    <w14:schemeClr w14:val="tx1"/>
                  </w14:solidFill>
                </w14:textFill>
              </w:rPr>
            </w:pPr>
            <w:r>
              <w:rPr>
                <w:rFonts w:hint="eastAsia" w:ascii="Times New Roman" w:hAnsi="Times New Roman" w:eastAsia="新宋体" w:cs="Times New Roman"/>
                <w:color w:val="000000" w:themeColor="text1"/>
                <w:szCs w:val="24"/>
                <w:highlight w:val="none"/>
                <w14:textFill>
                  <w14:solidFill>
                    <w14:schemeClr w14:val="tx1"/>
                  </w14:solidFill>
                </w14:textFill>
              </w:rPr>
              <w:t>一年的免费维保期后五年内（含五年）的年运营维护费</w:t>
            </w:r>
          </w:p>
        </w:tc>
        <w:tc>
          <w:tcPr>
            <w:tcW w:w="3714" w:type="dxa"/>
            <w:gridSpan w:val="2"/>
            <w:shd w:val="clear" w:color="auto" w:fill="FFFFFF" w:themeFill="background1"/>
            <w:vAlign w:val="center"/>
          </w:tcPr>
          <w:p>
            <w:pPr>
              <w:widowControl/>
              <w:jc w:val="center"/>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合同金额的%</w:t>
            </w:r>
          </w:p>
        </w:tc>
        <w:tc>
          <w:tcPr>
            <w:tcW w:w="1134" w:type="dxa"/>
            <w:shd w:val="clear" w:color="auto" w:fill="FFFFFF" w:themeFill="background1"/>
            <w:vAlign w:val="center"/>
          </w:tcPr>
          <w:p>
            <w:pPr>
              <w:widowControl/>
              <w:jc w:val="center"/>
              <w:rPr>
                <w:color w:val="000000" w:themeColor="text1"/>
                <w:highlight w:val="none"/>
                <w14:textFill>
                  <w14:solidFill>
                    <w14:schemeClr w14:val="tx1"/>
                  </w14:solidFill>
                </w14:textFill>
              </w:rPr>
            </w:pPr>
          </w:p>
        </w:tc>
      </w:tr>
    </w:tbl>
    <w:p>
      <w:pPr>
        <w:tabs>
          <w:tab w:val="left" w:pos="6300"/>
        </w:tabs>
        <w:snapToGrid w:val="0"/>
        <w:spacing w:line="400" w:lineRule="exact"/>
        <w:ind w:right="420" w:firstLine="142"/>
        <w:jc w:val="left"/>
        <w:rPr>
          <w:rFonts w:ascii="宋体" w:hAnsi="宋体" w:eastAsia="宋体" w:cs="Times New Roman"/>
          <w:b/>
          <w:color w:val="000000" w:themeColor="text1"/>
          <w:szCs w:val="21"/>
          <w:highlight w:val="none"/>
          <w14:textFill>
            <w14:solidFill>
              <w14:schemeClr w14:val="tx1"/>
            </w14:solidFill>
          </w14:textFill>
        </w:rPr>
      </w:pPr>
    </w:p>
    <w:p>
      <w:pPr>
        <w:jc w:val="left"/>
        <w:rPr>
          <w:rFonts w:ascii="Calibri" w:hAnsi="Calibri" w:eastAsia="新宋体" w:cs="Times New Roman"/>
          <w:color w:val="000000" w:themeColor="text1"/>
          <w:sz w:val="22"/>
          <w:szCs w:val="24"/>
          <w:highlight w:val="none"/>
          <w14:textFill>
            <w14:solidFill>
              <w14:schemeClr w14:val="tx1"/>
            </w14:solidFill>
          </w14:textFill>
        </w:rPr>
      </w:pPr>
    </w:p>
    <w:p>
      <w:pPr>
        <w:jc w:val="center"/>
        <w:rPr>
          <w:rFonts w:ascii="Calibri" w:hAnsi="Calibri" w:eastAsia="新宋体" w:cs="Times New Roman"/>
          <w:color w:val="000000" w:themeColor="text1"/>
          <w:sz w:val="22"/>
          <w:szCs w:val="24"/>
          <w:highlight w:val="none"/>
          <w14:textFill>
            <w14:solidFill>
              <w14:schemeClr w14:val="tx1"/>
            </w14:solidFill>
          </w14:textFill>
        </w:rPr>
      </w:pPr>
    </w:p>
    <w:p>
      <w:pPr>
        <w:tabs>
          <w:tab w:val="left" w:pos="6300"/>
        </w:tabs>
        <w:snapToGrid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投标人（公章）：</w:t>
      </w:r>
    </w:p>
    <w:p>
      <w:pPr>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法定代表人或其委托代理人：（盖章或签字）</w:t>
      </w:r>
    </w:p>
    <w:p>
      <w:pPr>
        <w:jc w:val="center"/>
        <w:rPr>
          <w:rFonts w:ascii="宋体" w:hAnsi="宋体" w:eastAsia="宋体" w:cs="Times New Roman"/>
          <w:color w:val="000000" w:themeColor="text1"/>
          <w:szCs w:val="21"/>
          <w:highlight w:val="none"/>
          <w14:textFill>
            <w14:solidFill>
              <w14:schemeClr w14:val="tx1"/>
            </w14:solidFill>
          </w14:textFill>
        </w:rPr>
      </w:pPr>
    </w:p>
    <w:p>
      <w:pPr>
        <w:ind w:firstLine="1365" w:firstLineChars="650"/>
        <w:rPr>
          <w:rFonts w:ascii="Calibri" w:hAnsi="Calibri" w:eastAsia="新宋体" w:cs="Times New Roman"/>
          <w:b/>
          <w:color w:val="000000" w:themeColor="text1"/>
          <w:sz w:val="22"/>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年   月   日</w:t>
      </w:r>
    </w:p>
    <w:p>
      <w:pPr>
        <w:spacing w:line="400" w:lineRule="exact"/>
        <w:rPr>
          <w:rFonts w:ascii="Times New Roman" w:hAnsi="Times New Roman" w:eastAsia="宋体" w:cs="Times New Roman"/>
          <w:b/>
          <w:color w:val="000000" w:themeColor="text1"/>
          <w:sz w:val="32"/>
          <w:szCs w:val="32"/>
          <w:highlight w:val="none"/>
          <w14:textFill>
            <w14:solidFill>
              <w14:schemeClr w14:val="tx1"/>
            </w14:solidFill>
          </w14:textFill>
        </w:rPr>
      </w:pPr>
    </w:p>
    <w:p>
      <w:pPr>
        <w:widowControl/>
        <w:jc w:val="left"/>
        <w:rPr>
          <w:rFonts w:ascii="Calibri" w:hAnsi="Calibri" w:eastAsia="新宋体" w:cs="Times New Roman"/>
          <w:color w:val="000000" w:themeColor="text1"/>
          <w:sz w:val="22"/>
          <w:szCs w:val="24"/>
          <w:highlight w:val="none"/>
          <w14:textFill>
            <w14:solidFill>
              <w14:schemeClr w14:val="tx1"/>
            </w14:solidFill>
          </w14:textFill>
        </w:rPr>
      </w:pPr>
      <w:r>
        <w:rPr>
          <w:rFonts w:ascii="Calibri" w:hAnsi="Calibri" w:eastAsia="新宋体" w:cs="Times New Roman"/>
          <w:color w:val="000000" w:themeColor="text1"/>
          <w:sz w:val="22"/>
          <w:szCs w:val="24"/>
          <w:highlight w:val="none"/>
          <w14:textFill>
            <w14:solidFill>
              <w14:schemeClr w14:val="tx1"/>
            </w14:solidFill>
          </w14:textFill>
        </w:rPr>
        <w:br w:type="page"/>
      </w:r>
    </w:p>
    <w:p>
      <w:pPr>
        <w:widowControl/>
        <w:jc w:val="left"/>
        <w:rPr>
          <w:rFonts w:ascii="Times New Roman" w:hAnsi="Times New Roman" w:eastAsia="宋体" w:cs="Times New Roman"/>
          <w:color w:val="000000" w:themeColor="text1"/>
          <w:sz w:val="24"/>
          <w:szCs w:val="24"/>
          <w:highlight w:val="none"/>
          <w14:textFill>
            <w14:solidFill>
              <w14:schemeClr w14:val="tx1"/>
            </w14:solidFill>
          </w14:textFill>
        </w:rPr>
      </w:pPr>
    </w:p>
    <w:p>
      <w:pPr>
        <w:keepNext/>
        <w:keepLines/>
        <w:tabs>
          <w:tab w:val="left" w:pos="1418"/>
        </w:tabs>
        <w:spacing w:line="400" w:lineRule="exact"/>
        <w:ind w:firstLine="284"/>
        <w:outlineLvl w:val="2"/>
        <w:rPr>
          <w:rFonts w:ascii="Times New Roman" w:hAnsi="Times New Roman" w:eastAsia="宋体" w:cs="Times New Roman"/>
          <w:b/>
          <w:bCs/>
          <w:color w:val="000000" w:themeColor="text1"/>
          <w:kern w:val="0"/>
          <w:sz w:val="24"/>
          <w:szCs w:val="21"/>
          <w:highlight w:val="none"/>
          <w14:textFill>
            <w14:solidFill>
              <w14:schemeClr w14:val="tx1"/>
            </w14:solidFill>
          </w14:textFill>
        </w:rPr>
      </w:pPr>
      <w:bookmarkStart w:id="159" w:name="_Toc419964633"/>
      <w:bookmarkStart w:id="160" w:name="_Toc26439"/>
      <w:r>
        <w:rPr>
          <w:rFonts w:ascii="Times New Roman" w:hAnsi="Times New Roman" w:eastAsia="宋体" w:cs="Times New Roman"/>
          <w:b/>
          <w:bCs/>
          <w:color w:val="000000" w:themeColor="text1"/>
          <w:kern w:val="0"/>
          <w:sz w:val="24"/>
          <w:szCs w:val="21"/>
          <w:highlight w:val="none"/>
          <w14:textFill>
            <w14:solidFill>
              <w14:schemeClr w14:val="tx1"/>
            </w14:solidFill>
          </w14:textFill>
        </w:rPr>
        <w:t>2.法定代表人身份证明书</w:t>
      </w:r>
      <w:bookmarkEnd w:id="159"/>
      <w:bookmarkEnd w:id="160"/>
    </w:p>
    <w:p>
      <w:pPr>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jc w:val="center"/>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法定代表人身份证明书（格式）</w:t>
      </w: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640" w:firstLineChars="267"/>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（法定代表人姓名）在（投标人名称）任（职务名称）职务，是__________________（投标人名称）的法定代表人。</w:t>
      </w:r>
    </w:p>
    <w:p>
      <w:pPr>
        <w:tabs>
          <w:tab w:val="left" w:pos="6300"/>
        </w:tabs>
        <w:snapToGrid w:val="0"/>
        <w:spacing w:line="400" w:lineRule="exact"/>
        <w:ind w:firstLine="460" w:firstLineChars="192"/>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460" w:firstLineChars="192"/>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特此证明。</w:t>
      </w: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tbl>
      <w:tblPr>
        <w:tblStyle w:val="58"/>
        <w:tblW w:w="5387" w:type="dxa"/>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Pr>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此处粘贴“法定代表人身份证双面复印件”</w:t>
            </w: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tc>
      </w:tr>
    </w:tbl>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spacing w:line="400" w:lineRule="exact"/>
        <w:rPr>
          <w:rFonts w:ascii="Times New Roman" w:hAnsi="Times New Roman" w:eastAsia="宋体" w:cs="Times New Roman"/>
          <w:b/>
          <w:color w:val="000000" w:themeColor="text1"/>
          <w:sz w:val="24"/>
          <w:szCs w:val="21"/>
          <w:highlight w:val="none"/>
          <w14:textFill>
            <w14:solidFill>
              <w14:schemeClr w14:val="tx1"/>
            </w14:solidFill>
          </w14:textFill>
        </w:rPr>
      </w:pPr>
      <w:r>
        <w:rPr>
          <w:rFonts w:ascii="Times New Roman" w:hAnsi="Times New Roman" w:eastAsia="宋体" w:cs="Times New Roman"/>
          <w:b/>
          <w:color w:val="000000" w:themeColor="text1"/>
          <w:sz w:val="24"/>
          <w:szCs w:val="21"/>
          <w:highlight w:val="none"/>
          <w14:textFill>
            <w14:solidFill>
              <w14:schemeClr w14:val="tx1"/>
            </w14:solidFill>
          </w14:textFill>
        </w:rPr>
        <w:t>投标人:（公章）</w:t>
      </w: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年月日</w:t>
      </w:r>
    </w:p>
    <w:p>
      <w:pPr>
        <w:spacing w:line="400" w:lineRule="exact"/>
        <w:rPr>
          <w:rFonts w:ascii="Times New Roman" w:hAnsi="Times New Roman" w:eastAsia="宋体" w:cs="Times New Roman"/>
          <w:color w:val="000000" w:themeColor="text1"/>
          <w:sz w:val="32"/>
          <w:szCs w:val="24"/>
          <w:highlight w:val="none"/>
          <w14:textFill>
            <w14:solidFill>
              <w14:schemeClr w14:val="tx1"/>
            </w14:solidFill>
          </w14:textFill>
        </w:rPr>
      </w:pPr>
    </w:p>
    <w:p>
      <w:pPr>
        <w:spacing w:line="400" w:lineRule="exact"/>
        <w:rPr>
          <w:rFonts w:ascii="Times New Roman" w:hAnsi="Times New Roman" w:eastAsia="宋体" w:cs="Times New Roman"/>
          <w:color w:val="000000" w:themeColor="text1"/>
          <w:sz w:val="40"/>
          <w:szCs w:val="24"/>
          <w:highlight w:val="none"/>
          <w14:textFill>
            <w14:solidFill>
              <w14:schemeClr w14:val="tx1"/>
            </w14:solidFill>
          </w14:textFill>
        </w:rPr>
      </w:pPr>
      <w:r>
        <w:rPr>
          <w:rFonts w:ascii="Times New Roman" w:hAnsi="Times New Roman" w:eastAsia="宋体" w:cs="Times New Roman"/>
          <w:color w:val="000000" w:themeColor="text1"/>
          <w:sz w:val="32"/>
          <w:szCs w:val="24"/>
          <w:highlight w:val="none"/>
          <w14:textFill>
            <w14:solidFill>
              <w14:schemeClr w14:val="tx1"/>
            </w14:solidFill>
          </w14:textFill>
        </w:rPr>
        <w:br w:type="page"/>
      </w:r>
    </w:p>
    <w:p>
      <w:pPr>
        <w:keepNext/>
        <w:keepLines/>
        <w:tabs>
          <w:tab w:val="left" w:pos="1418"/>
        </w:tabs>
        <w:spacing w:line="400" w:lineRule="exact"/>
        <w:ind w:firstLine="284"/>
        <w:outlineLvl w:val="2"/>
        <w:rPr>
          <w:rFonts w:ascii="Times New Roman" w:hAnsi="Times New Roman" w:eastAsia="宋体" w:cs="Times New Roman"/>
          <w:b/>
          <w:bCs/>
          <w:color w:val="000000" w:themeColor="text1"/>
          <w:kern w:val="0"/>
          <w:sz w:val="24"/>
          <w:szCs w:val="21"/>
          <w:highlight w:val="none"/>
          <w14:textFill>
            <w14:solidFill>
              <w14:schemeClr w14:val="tx1"/>
            </w14:solidFill>
          </w14:textFill>
        </w:rPr>
      </w:pPr>
      <w:bookmarkStart w:id="161" w:name="_Toc419964634"/>
      <w:bookmarkStart w:id="162" w:name="_Toc20966"/>
      <w:r>
        <w:rPr>
          <w:rFonts w:ascii="Times New Roman" w:hAnsi="Times New Roman" w:eastAsia="宋体" w:cs="Times New Roman"/>
          <w:b/>
          <w:bCs/>
          <w:color w:val="000000" w:themeColor="text1"/>
          <w:kern w:val="0"/>
          <w:sz w:val="24"/>
          <w:szCs w:val="21"/>
          <w:highlight w:val="none"/>
          <w14:textFill>
            <w14:solidFill>
              <w14:schemeClr w14:val="tx1"/>
            </w14:solidFill>
          </w14:textFill>
        </w:rPr>
        <w:t>3.法定代表人授权委托书</w:t>
      </w:r>
      <w:bookmarkEnd w:id="161"/>
      <w:bookmarkEnd w:id="162"/>
    </w:p>
    <w:p>
      <w:pPr>
        <w:spacing w:line="400" w:lineRule="exact"/>
        <w:jc w:val="center"/>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法定代表人授权委托书（格式）</w:t>
      </w:r>
    </w:p>
    <w:p>
      <w:pPr>
        <w:spacing w:line="400" w:lineRule="exact"/>
        <w:jc w:val="center"/>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致：</w:t>
      </w:r>
      <w:r>
        <w:rPr>
          <w:rFonts w:ascii="Times New Roman" w:hAnsi="Times New Roman" w:eastAsia="宋体" w:cs="Times New Roman"/>
          <w:color w:val="000000" w:themeColor="text1"/>
          <w:sz w:val="24"/>
          <w:szCs w:val="21"/>
          <w:highlight w:val="none"/>
          <w:u w:val="single"/>
          <w14:textFill>
            <w14:solidFill>
              <w14:schemeClr w14:val="tx1"/>
            </w14:solidFill>
          </w14:textFill>
        </w:rPr>
        <w:t>（招标人）</w:t>
      </w:r>
    </w:p>
    <w:p>
      <w:pPr>
        <w:tabs>
          <w:tab w:val="left" w:pos="6300"/>
        </w:tabs>
        <w:snapToGrid w:val="0"/>
        <w:spacing w:line="400" w:lineRule="exact"/>
        <w:ind w:firstLine="555"/>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____________（投标人名称）是中华人民共和国合法企业，法定地址__________。</w:t>
      </w:r>
    </w:p>
    <w:p>
      <w:pPr>
        <w:tabs>
          <w:tab w:val="left" w:pos="6300"/>
        </w:tabs>
        <w:snapToGrid w:val="0"/>
        <w:spacing w:line="400" w:lineRule="exact"/>
        <w:ind w:firstLine="555"/>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_________（投标人法定代表人姓名）特授权_________（被授权人姓名及身份证代码）代表我单位全权办理对上述项目的投标、签约等具体工作，并签署全部有关的文件、协议及合同。</w:t>
      </w:r>
    </w:p>
    <w:p>
      <w:pPr>
        <w:tabs>
          <w:tab w:val="left" w:pos="6300"/>
        </w:tabs>
        <w:snapToGrid w:val="0"/>
        <w:spacing w:line="400" w:lineRule="exact"/>
        <w:ind w:firstLine="555"/>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我单位对被授权人的签名负全部责任。</w:t>
      </w:r>
    </w:p>
    <w:p>
      <w:pPr>
        <w:tabs>
          <w:tab w:val="left" w:pos="6300"/>
        </w:tabs>
        <w:snapToGrid w:val="0"/>
        <w:spacing w:line="400" w:lineRule="exact"/>
        <w:ind w:firstLine="555"/>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在撤消授权的书面通知以前，本授权书一直有效。被授权人签署的所有文件（在授权书有效期内签署的）不因授权的撤消而失效。</w:t>
      </w: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tbl>
      <w:tblPr>
        <w:tblStyle w:val="58"/>
        <w:tblW w:w="5025"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Pr>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此处粘贴“被授权人身份证双面复印”</w:t>
            </w: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tc>
      </w:tr>
    </w:tbl>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eastAsia="宋体" w:cs="Times New Roman"/>
          <w:b/>
          <w:color w:val="000000" w:themeColor="text1"/>
          <w:sz w:val="24"/>
          <w:szCs w:val="21"/>
          <w:highlight w:val="none"/>
          <w14:textFill>
            <w14:solidFill>
              <w14:schemeClr w14:val="tx1"/>
            </w14:solidFill>
          </w14:textFill>
        </w:rPr>
      </w:pPr>
      <w:r>
        <w:rPr>
          <w:rFonts w:ascii="Times New Roman" w:hAnsi="Times New Roman" w:eastAsia="宋体" w:cs="Times New Roman"/>
          <w:b/>
          <w:color w:val="000000" w:themeColor="text1"/>
          <w:sz w:val="24"/>
          <w:szCs w:val="21"/>
          <w:highlight w:val="none"/>
          <w14:textFill>
            <w14:solidFill>
              <w14:schemeClr w14:val="tx1"/>
            </w14:solidFill>
          </w14:textFill>
        </w:rPr>
        <w:t>被授权人签名或盖章：法定代表人签名或盖章：</w:t>
      </w: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职务：职务：</w:t>
      </w:r>
    </w:p>
    <w:p>
      <w:pPr>
        <w:tabs>
          <w:tab w:val="left" w:pos="6300"/>
        </w:tabs>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p>
    <w:p>
      <w:pPr>
        <w:snapToGrid w:val="0"/>
        <w:spacing w:line="400" w:lineRule="exact"/>
        <w:rPr>
          <w:rFonts w:ascii="Times New Roman" w:hAnsi="Times New Roman" w:eastAsia="宋体" w:cs="Times New Roman"/>
          <w:color w:val="000000" w:themeColor="text1"/>
          <w:sz w:val="24"/>
          <w:szCs w:val="21"/>
          <w:highlight w:val="none"/>
          <w:u w:val="singl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投标人：（公章）</w:t>
      </w:r>
    </w:p>
    <w:p>
      <w:pPr>
        <w:snapToGrid w:val="0"/>
        <w:spacing w:line="400" w:lineRule="exact"/>
        <w:rPr>
          <w:rFonts w:ascii="Times New Roman" w:hAnsi="Times New Roman" w:eastAsia="宋体" w:cs="Times New Roman"/>
          <w:color w:val="000000" w:themeColor="text1"/>
          <w:sz w:val="24"/>
          <w:szCs w:val="21"/>
          <w:highlight w:val="none"/>
          <w14:textFill>
            <w14:solidFill>
              <w14:schemeClr w14:val="tx1"/>
            </w14:solidFill>
          </w14:textFill>
        </w:rPr>
      </w:pPr>
      <w:r>
        <w:rPr>
          <w:rFonts w:ascii="Times New Roman" w:hAnsi="Times New Roman" w:eastAsia="宋体" w:cs="Times New Roman"/>
          <w:color w:val="000000" w:themeColor="text1"/>
          <w:sz w:val="24"/>
          <w:szCs w:val="21"/>
          <w:highlight w:val="none"/>
          <w14:textFill>
            <w14:solidFill>
              <w14:schemeClr w14:val="tx1"/>
            </w14:solidFill>
          </w14:textFill>
        </w:rPr>
        <w:t>年月日</w:t>
      </w:r>
    </w:p>
    <w:p>
      <w:pPr>
        <w:spacing w:line="400" w:lineRule="exac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br w:type="page"/>
      </w:r>
    </w:p>
    <w:p>
      <w:pPr>
        <w:spacing w:line="500" w:lineRule="exact"/>
        <w:jc w:val="center"/>
        <w:outlineLvl w:val="1"/>
        <w:rPr>
          <w:rFonts w:ascii="Times New Roman" w:hAnsi="Times New Roman" w:eastAsia="宋体" w:cs="Times New Roman"/>
          <w:b/>
          <w:color w:val="000000" w:themeColor="text1"/>
          <w:sz w:val="44"/>
          <w:szCs w:val="44"/>
          <w:highlight w:val="none"/>
          <w14:textFill>
            <w14:solidFill>
              <w14:schemeClr w14:val="tx1"/>
            </w14:solidFill>
          </w14:textFill>
        </w:rPr>
      </w:pPr>
      <w:bookmarkStart w:id="163" w:name="_Toc10452"/>
      <w:r>
        <w:rPr>
          <w:rFonts w:ascii="Times New Roman" w:hAnsi="Times New Roman" w:eastAsia="宋体" w:cs="Times New Roman"/>
          <w:b/>
          <w:color w:val="000000" w:themeColor="text1"/>
          <w:sz w:val="44"/>
          <w:szCs w:val="44"/>
          <w:highlight w:val="none"/>
          <w14:textFill>
            <w14:solidFill>
              <w14:schemeClr w14:val="tx1"/>
            </w14:solidFill>
          </w14:textFill>
        </w:rPr>
        <w:t>B：资格、技术、商务部分</w:t>
      </w:r>
      <w:bookmarkEnd w:id="163"/>
    </w:p>
    <w:p>
      <w:pPr>
        <w:autoSpaceDE w:val="0"/>
        <w:autoSpaceDN w:val="0"/>
        <w:adjustRightInd w:val="0"/>
        <w:snapToGrid w:val="0"/>
        <w:spacing w:line="400" w:lineRule="exact"/>
        <w:jc w:val="left"/>
        <w:rPr>
          <w:rFonts w:ascii="Times New Roman" w:hAnsi="Times New Roman" w:eastAsia="宋体" w:cs="Times New Roman"/>
          <w:color w:val="000000" w:themeColor="text1"/>
          <w:sz w:val="32"/>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14:textFill>
            <w14:solidFill>
              <w14:schemeClr w14:val="tx1"/>
            </w14:solidFill>
          </w14:textFill>
        </w:rPr>
      </w:pPr>
    </w:p>
    <w:p>
      <w:pPr>
        <w:spacing w:line="400" w:lineRule="exac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eastAsia="宋体" w:cs="Times New Roman"/>
          <w:b/>
          <w:color w:val="000000" w:themeColor="text1"/>
          <w:kern w:val="0"/>
          <w:sz w:val="24"/>
          <w:szCs w:val="24"/>
          <w:highlight w:val="none"/>
          <w14:textFill>
            <w14:solidFill>
              <w14:schemeClr w14:val="tx1"/>
            </w14:solidFill>
          </w14:textFill>
        </w:rPr>
      </w:pPr>
      <w:bookmarkStart w:id="164" w:name="_Toc419964635"/>
      <w:bookmarkStart w:id="165" w:name="_Toc354044650"/>
      <w:bookmarkStart w:id="166" w:name="_Toc12051"/>
      <w:r>
        <w:rPr>
          <w:rFonts w:ascii="Times New Roman" w:hAnsi="Times New Roman" w:eastAsia="宋体" w:cs="Times New Roman"/>
          <w:b/>
          <w:bCs/>
          <w:color w:val="000000" w:themeColor="text1"/>
          <w:kern w:val="0"/>
          <w:sz w:val="24"/>
          <w:szCs w:val="21"/>
          <w:highlight w:val="none"/>
          <w14:textFill>
            <w14:solidFill>
              <w14:schemeClr w14:val="tx1"/>
            </w14:solidFill>
          </w14:textFill>
        </w:rPr>
        <w:t>1</w:t>
      </w:r>
      <w:r>
        <w:rPr>
          <w:rFonts w:hint="eastAsia" w:ascii="Times New Roman" w:hAnsi="Times New Roman" w:eastAsia="宋体" w:cs="Times New Roman"/>
          <w:b/>
          <w:bCs/>
          <w:color w:val="000000" w:themeColor="text1"/>
          <w:kern w:val="0"/>
          <w:sz w:val="24"/>
          <w:szCs w:val="21"/>
          <w:highlight w:val="none"/>
          <w14:textFill>
            <w14:solidFill>
              <w14:schemeClr w14:val="tx1"/>
            </w14:solidFill>
          </w14:textFill>
        </w:rPr>
        <w:t>.</w:t>
      </w:r>
      <w:bookmarkEnd w:id="164"/>
      <w:bookmarkEnd w:id="165"/>
      <w:bookmarkEnd w:id="166"/>
      <w:bookmarkStart w:id="167" w:name="_Toc11406"/>
      <w:bookmarkStart w:id="168" w:name="_Toc419964637"/>
      <w:bookmarkStart w:id="169" w:name="_Toc354044653"/>
      <w:r>
        <w:rPr>
          <w:rFonts w:ascii="Times New Roman" w:hAnsi="Times New Roman" w:eastAsia="宋体" w:cs="Times New Roman"/>
          <w:b/>
          <w:color w:val="000000" w:themeColor="text1"/>
          <w:kern w:val="0"/>
          <w:sz w:val="24"/>
          <w:szCs w:val="24"/>
          <w:highlight w:val="none"/>
          <w14:textFill>
            <w14:solidFill>
              <w14:schemeClr w14:val="tx1"/>
            </w14:solidFill>
          </w14:textFill>
        </w:rPr>
        <w:t>诚信声明</w:t>
      </w:r>
      <w:bookmarkEnd w:id="167"/>
      <w:bookmarkEnd w:id="168"/>
      <w:r>
        <w:rPr>
          <w:rFonts w:ascii="Times New Roman" w:hAnsi="Times New Roman" w:eastAsia="宋体" w:cs="Times New Roman"/>
          <w:b/>
          <w:color w:val="000000" w:themeColor="text1"/>
          <w:kern w:val="0"/>
          <w:sz w:val="24"/>
          <w:szCs w:val="24"/>
          <w:highlight w:val="none"/>
          <w14:textFill>
            <w14:solidFill>
              <w14:schemeClr w14:val="tx1"/>
            </w14:solidFill>
          </w14:textFill>
        </w:rPr>
        <w:t>及承诺</w:t>
      </w:r>
    </w:p>
    <w:p>
      <w:pPr>
        <w:tabs>
          <w:tab w:val="left" w:pos="6300"/>
        </w:tabs>
        <w:snapToGrid w:val="0"/>
        <w:spacing w:line="440" w:lineRule="exac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致：</w:t>
      </w:r>
      <w:r>
        <w:rPr>
          <w:rFonts w:ascii="Times New Roman" w:hAnsi="Times New Roman" w:eastAsia="宋体" w:cs="Times New Roman"/>
          <w:color w:val="000000" w:themeColor="text1"/>
          <w:sz w:val="24"/>
          <w:szCs w:val="24"/>
          <w:highlight w:val="none"/>
          <w:u w:val="single"/>
          <w14:textFill>
            <w14:solidFill>
              <w14:schemeClr w14:val="tx1"/>
            </w14:solidFill>
          </w14:textFill>
        </w:rPr>
        <w:t>（招标人）</w:t>
      </w:r>
    </w:p>
    <w:p>
      <w:pPr>
        <w:spacing w:line="440" w:lineRule="exact"/>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1、我司申明：我司投标文件中提供的各项证明材料都是真实、可靠性的。若在评标及后续工作中若发现证明材料的真实性、可靠性存在弄虚作假等行为，招标人有权取消我司中标资格</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并</w:t>
      </w:r>
      <w:r>
        <w:rPr>
          <w:rFonts w:ascii="Times New Roman" w:hAnsi="Times New Roman" w:eastAsia="宋体" w:cs="Times New Roman"/>
          <w:color w:val="000000" w:themeColor="text1"/>
          <w:kern w:val="0"/>
          <w:sz w:val="24"/>
          <w:szCs w:val="24"/>
          <w:highlight w:val="none"/>
          <w14:textFill>
            <w14:solidFill>
              <w14:schemeClr w14:val="tx1"/>
            </w14:solidFill>
          </w14:textFill>
        </w:rPr>
        <w:t>没收我司投标保证金（或履约保证金）</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w:t>
      </w:r>
      <w:r>
        <w:rPr>
          <w:rFonts w:ascii="Times New Roman" w:hAnsi="Times New Roman" w:eastAsia="宋体" w:cs="Times New Roman"/>
          <w:color w:val="000000" w:themeColor="text1"/>
          <w:kern w:val="0"/>
          <w:sz w:val="24"/>
          <w:szCs w:val="24"/>
          <w:highlight w:val="none"/>
          <w14:textFill>
            <w14:solidFill>
              <w14:schemeClr w14:val="tx1"/>
            </w14:solidFill>
          </w14:textFill>
        </w:rPr>
        <w:t>我司愿赔偿相应损失并承担一切法律责任。</w:t>
      </w:r>
    </w:p>
    <w:p>
      <w:pPr>
        <w:spacing w:line="440" w:lineRule="exact"/>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2、我司承诺项目组织结构中的每个成员在项目实施过程中不得随意变动，所有成员的入场、撤场、更换均需得到重庆银行的书面同意。同时对于人员的频繁变动我司将严格按照《重庆银行外包服务水平协议》的条款执行相应处罚。</w:t>
      </w:r>
    </w:p>
    <w:p>
      <w:pPr>
        <w:spacing w:line="440" w:lineRule="exact"/>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3、我司完全认可并愿意遵守招标文件第二章“投标人须知前附表”第21款规定。</w:t>
      </w:r>
    </w:p>
    <w:p>
      <w:pPr>
        <w:spacing w:line="440" w:lineRule="exact"/>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4、我司完全认可：“招标文件第二章“投标人须知”第</w:t>
      </w:r>
      <w:r>
        <w:rPr>
          <w:rFonts w:ascii="Times New Roman" w:hAnsi="Times New Roman" w:eastAsia="宋体" w:cs="Times New Roman"/>
          <w:color w:val="000000" w:themeColor="text1"/>
          <w:kern w:val="0"/>
          <w:sz w:val="24"/>
          <w:szCs w:val="24"/>
          <w:highlight w:val="none"/>
          <w14:textFill>
            <w14:solidFill>
              <w14:schemeClr w14:val="tx1"/>
            </w14:solidFill>
          </w14:textFill>
        </w:rPr>
        <w:t>12.</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5保证金不予退还情况的相关规定。”</w:t>
      </w:r>
    </w:p>
    <w:p>
      <w:pPr>
        <w:spacing w:line="440" w:lineRule="exact"/>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5、我方完全认可招标文件中有关“POC测试”（如果有）的相关要求和规定，并承诺严格按招标文件执行。</w:t>
      </w:r>
    </w:p>
    <w:p>
      <w:pPr>
        <w:spacing w:line="440" w:lineRule="exac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p>
    <w:p>
      <w:pPr>
        <w:spacing w:line="440" w:lineRule="exact"/>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w:t>
      </w:r>
    </w:p>
    <w:p>
      <w:pPr>
        <w:spacing w:line="440" w:lineRule="exact"/>
        <w:ind w:firstLine="801" w:firstLineChars="334"/>
        <w:rPr>
          <w:rFonts w:ascii="Times New Roman" w:hAnsi="Times New Roman" w:eastAsia="宋体" w:cs="Times New Roman"/>
          <w:color w:val="000000" w:themeColor="text1"/>
          <w:kern w:val="0"/>
          <w:sz w:val="24"/>
          <w:szCs w:val="24"/>
          <w:highlight w:val="none"/>
          <w14:textFill>
            <w14:solidFill>
              <w14:schemeClr w14:val="tx1"/>
            </w14:solidFill>
          </w14:textFill>
        </w:rPr>
      </w:pPr>
    </w:p>
    <w:p>
      <w:pPr>
        <w:tabs>
          <w:tab w:val="left" w:pos="6300"/>
        </w:tabs>
        <w:snapToGrid w:val="0"/>
        <w:spacing w:line="440" w:lineRule="exact"/>
        <w:ind w:right="420" w:firstLine="142"/>
        <w:rPr>
          <w:rFonts w:ascii="Times New Roman" w:hAnsi="Times New Roman" w:eastAsia="宋体" w:cs="Times New Roman"/>
          <w:b/>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注：投标人可在上述内容的基础上补充其他更优的承诺或说明。</w:t>
      </w:r>
    </w:p>
    <w:p>
      <w:pPr>
        <w:tabs>
          <w:tab w:val="left" w:pos="6300"/>
        </w:tabs>
        <w:snapToGrid w:val="0"/>
        <w:spacing w:line="440" w:lineRule="exact"/>
        <w:ind w:right="420" w:firstLine="142"/>
        <w:jc w:val="left"/>
        <w:rPr>
          <w:rFonts w:ascii="Times New Roman" w:hAnsi="Times New Roman" w:eastAsia="宋体" w:cs="Times New Roman"/>
          <w:b/>
          <w:color w:val="000000" w:themeColor="text1"/>
          <w:sz w:val="24"/>
          <w:szCs w:val="24"/>
          <w:highlight w:val="none"/>
          <w14:textFill>
            <w14:solidFill>
              <w14:schemeClr w14:val="tx1"/>
            </w14:solidFill>
          </w14:textFill>
        </w:rPr>
      </w:pPr>
      <w:r>
        <w:rPr>
          <w:rFonts w:ascii="Times New Roman" w:hAnsi="Times New Roman" w:eastAsia="宋体" w:cs="Times New Roman"/>
          <w:b/>
          <w:color w:val="000000" w:themeColor="text1"/>
          <w:sz w:val="24"/>
          <w:szCs w:val="24"/>
          <w:highlight w:val="none"/>
          <w14:textFill>
            <w14:solidFill>
              <w14:schemeClr w14:val="tx1"/>
            </w14:solidFill>
          </w14:textFill>
        </w:rPr>
        <w:t>投标人（公章）：</w:t>
      </w:r>
    </w:p>
    <w:p>
      <w:pPr>
        <w:spacing w:line="440" w:lineRule="exact"/>
        <w:ind w:right="105" w:firstLine="120" w:firstLineChars="50"/>
        <w:jc w:val="left"/>
        <w:rPr>
          <w:rFonts w:ascii="Times New Roman" w:hAnsi="Times New Roman" w:eastAsia="宋体" w:cs="Times New Roman"/>
          <w:b/>
          <w:color w:val="000000" w:themeColor="text1"/>
          <w:sz w:val="24"/>
          <w:szCs w:val="24"/>
          <w:highlight w:val="none"/>
          <w14:textFill>
            <w14:solidFill>
              <w14:schemeClr w14:val="tx1"/>
            </w14:solidFill>
          </w14:textFill>
        </w:rPr>
      </w:pPr>
      <w:r>
        <w:rPr>
          <w:rFonts w:ascii="Times New Roman" w:hAnsi="Times New Roman" w:eastAsia="宋体" w:cs="Times New Roman"/>
          <w:b/>
          <w:color w:val="000000" w:themeColor="text1"/>
          <w:sz w:val="24"/>
          <w:szCs w:val="24"/>
          <w:highlight w:val="none"/>
          <w14:textFill>
            <w14:solidFill>
              <w14:schemeClr w14:val="tx1"/>
            </w14:solidFill>
          </w14:textFill>
        </w:rPr>
        <w:t>法定代表人或其委托代理人：（盖章或签字）</w:t>
      </w:r>
    </w:p>
    <w:p>
      <w:pPr>
        <w:spacing w:line="440" w:lineRule="exact"/>
        <w:ind w:right="900" w:firstLine="600" w:firstLineChars="25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年月日</w:t>
      </w:r>
    </w:p>
    <w:p>
      <w:pPr>
        <w:spacing w:line="440" w:lineRule="exact"/>
        <w:rPr>
          <w:rFonts w:ascii="宋体" w:hAnsi="宋体" w:eastAsia="宋体" w:cs="Times New Roman"/>
          <w:color w:val="000000" w:themeColor="text1"/>
          <w:kern w:val="0"/>
          <w:szCs w:val="21"/>
          <w:highlight w:val="none"/>
          <w:u w:val="singl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br w:type="page"/>
      </w:r>
    </w:p>
    <w:bookmarkEnd w:id="169"/>
    <w:p>
      <w:pPr>
        <w:keepNext/>
        <w:keepLines/>
        <w:tabs>
          <w:tab w:val="left" w:pos="1418"/>
        </w:tabs>
        <w:spacing w:before="260" w:after="260" w:line="400" w:lineRule="exact"/>
        <w:ind w:firstLine="284"/>
        <w:outlineLvl w:val="2"/>
        <w:rPr>
          <w:b/>
          <w:bCs/>
          <w:color w:val="000000" w:themeColor="text1"/>
          <w:sz w:val="24"/>
          <w:highlight w:val="none"/>
          <w14:textFill>
            <w14:solidFill>
              <w14:schemeClr w14:val="tx1"/>
            </w14:solidFill>
          </w14:textFill>
        </w:rPr>
      </w:pPr>
      <w:bookmarkStart w:id="170" w:name="_Toc354044654"/>
      <w:bookmarkStart w:id="171" w:name="_Toc419964638"/>
      <w:bookmarkStart w:id="172" w:name="_Toc16719"/>
      <w:r>
        <w:rPr>
          <w:rFonts w:hint="eastAsia" w:ascii="Times New Roman" w:hAnsi="Times New Roman" w:eastAsia="宋体" w:cs="Times New Roman"/>
          <w:b/>
          <w:bCs/>
          <w:color w:val="000000" w:themeColor="text1"/>
          <w:sz w:val="24"/>
          <w:szCs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投标保证金递交相关信息：</w:t>
      </w:r>
    </w:p>
    <w:p>
      <w:pPr>
        <w:keepNext/>
        <w:keepLines/>
        <w:tabs>
          <w:tab w:val="left" w:pos="1418"/>
        </w:tabs>
        <w:spacing w:before="260" w:after="260" w:line="400" w:lineRule="exact"/>
        <w:ind w:firstLine="284"/>
        <w:outlineLvl w:val="2"/>
        <w:rPr>
          <w:rFonts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投标保证金递交凭证</w:t>
      </w:r>
      <w:r>
        <w:rPr>
          <w:rFonts w:hint="eastAsia" w:ascii="Times New Roman" w:hAnsi="Times New Roman" w:eastAsia="宋体" w:cs="Times New Roman"/>
          <w:b/>
          <w:bCs/>
          <w:color w:val="000000" w:themeColor="text1"/>
          <w:kern w:val="0"/>
          <w:sz w:val="24"/>
          <w:szCs w:val="24"/>
          <w:highlight w:val="none"/>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14:textFill>
            <w14:solidFill>
              <w14:schemeClr w14:val="tx1"/>
            </w14:solidFill>
          </w14:textFill>
        </w:rPr>
        <w:t>3.</w:t>
      </w:r>
      <w:r>
        <w:rPr>
          <w:rFonts w:ascii="Times New Roman" w:hAnsi="Times New Roman" w:eastAsia="宋体" w:cs="Times New Roman"/>
          <w:b/>
          <w:bCs/>
          <w:color w:val="000000" w:themeColor="text1"/>
          <w:kern w:val="0"/>
          <w:sz w:val="24"/>
          <w:szCs w:val="24"/>
          <w:highlight w:val="none"/>
          <w14:textFill>
            <w14:solidFill>
              <w14:schemeClr w14:val="tx1"/>
            </w14:solidFill>
          </w14:textFill>
        </w:rPr>
        <w:t>其他资料</w:t>
      </w:r>
      <w:bookmarkEnd w:id="170"/>
      <w:bookmarkEnd w:id="171"/>
      <w:bookmarkEnd w:id="172"/>
    </w:p>
    <w:p>
      <w:pPr>
        <w:spacing w:line="400" w:lineRule="exac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（该部分资料由投标人根据资格审查要求、商务评分、技术评分等内容，自行编制，格式自拟，并附相应证明资料）</w:t>
      </w:r>
    </w:p>
    <w:p>
      <w:pPr>
        <w:spacing w:line="300" w:lineRule="exact"/>
        <w:rPr>
          <w:rFonts w:ascii="Times New Roman" w:hAnsi="Times New Roman" w:eastAsia="宋体" w:cs="Times New Roman"/>
          <w:b/>
          <w:bCs/>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br w:type="page"/>
      </w:r>
      <w:bookmarkStart w:id="173" w:name="_Toc2699"/>
      <w:r>
        <w:rPr>
          <w:rFonts w:ascii="Times New Roman" w:hAnsi="Times New Roman" w:eastAsia="宋体" w:cs="Times New Roman"/>
          <w:b/>
          <w:bCs/>
          <w:color w:val="000000" w:themeColor="text1"/>
          <w:kern w:val="0"/>
          <w:sz w:val="24"/>
          <w:szCs w:val="24"/>
          <w:highlight w:val="none"/>
          <w14:textFill>
            <w14:solidFill>
              <w14:schemeClr w14:val="tx1"/>
            </w14:solidFill>
          </w14:textFill>
        </w:rPr>
        <w:t>附件1</w:t>
      </w:r>
      <w:bookmarkEnd w:id="173"/>
    </w:p>
    <w:p>
      <w:pPr>
        <w:keepNext/>
        <w:keepLines/>
        <w:tabs>
          <w:tab w:val="left" w:pos="1418"/>
        </w:tabs>
        <w:spacing w:line="300" w:lineRule="exact"/>
        <w:jc w:val="center"/>
        <w:rPr>
          <w:rFonts w:ascii="Times New Roman" w:hAnsi="Times New Roman" w:eastAsia="仿宋" w:cs="Times New Roman"/>
          <w:b/>
          <w:bCs/>
          <w:color w:val="000000" w:themeColor="text1"/>
          <w:kern w:val="0"/>
          <w:sz w:val="30"/>
          <w:szCs w:val="30"/>
          <w:highlight w:val="none"/>
          <w14:textFill>
            <w14:solidFill>
              <w14:schemeClr w14:val="tx1"/>
            </w14:solidFill>
          </w14:textFill>
        </w:rPr>
      </w:pPr>
    </w:p>
    <w:p>
      <w:pPr>
        <w:keepNext/>
        <w:keepLines/>
        <w:tabs>
          <w:tab w:val="left" w:pos="1418"/>
        </w:tabs>
        <w:spacing w:line="300" w:lineRule="exact"/>
        <w:jc w:val="center"/>
        <w:rPr>
          <w:rFonts w:ascii="Times New Roman" w:hAnsi="Times New Roman" w:eastAsia="仿宋" w:cs="Times New Roman"/>
          <w:b/>
          <w:bCs/>
          <w:color w:val="000000" w:themeColor="text1"/>
          <w:kern w:val="0"/>
          <w:sz w:val="30"/>
          <w:szCs w:val="30"/>
          <w:highlight w:val="none"/>
          <w14:textFill>
            <w14:solidFill>
              <w14:schemeClr w14:val="tx1"/>
            </w14:solidFill>
          </w14:textFill>
        </w:rPr>
      </w:pPr>
    </w:p>
    <w:p>
      <w:pPr>
        <w:keepNext/>
        <w:keepLines/>
        <w:tabs>
          <w:tab w:val="left" w:pos="1418"/>
        </w:tabs>
        <w:spacing w:line="300" w:lineRule="exact"/>
        <w:jc w:val="center"/>
        <w:rPr>
          <w:rFonts w:ascii="Times New Roman" w:hAnsi="Times New Roman" w:eastAsia="仿宋" w:cs="Times New Roman"/>
          <w:b/>
          <w:bCs/>
          <w:color w:val="000000" w:themeColor="text1"/>
          <w:kern w:val="0"/>
          <w:sz w:val="30"/>
          <w:szCs w:val="30"/>
          <w:highlight w:val="none"/>
          <w14:textFill>
            <w14:solidFill>
              <w14:schemeClr w14:val="tx1"/>
            </w14:solidFill>
          </w14:textFill>
        </w:rPr>
      </w:pPr>
      <w:r>
        <w:rPr>
          <w:rFonts w:ascii="Times New Roman" w:hAnsi="Times New Roman" w:eastAsia="仿宋" w:cs="Times New Roman"/>
          <w:b/>
          <w:bCs/>
          <w:color w:val="000000" w:themeColor="text1"/>
          <w:kern w:val="0"/>
          <w:sz w:val="30"/>
          <w:szCs w:val="30"/>
          <w:highlight w:val="none"/>
          <w14:textFill>
            <w14:solidFill>
              <w14:schemeClr w14:val="tx1"/>
            </w14:solidFill>
          </w14:textFill>
        </w:rPr>
        <w:t>评审表页码对照表</w:t>
      </w:r>
    </w:p>
    <w:p>
      <w:pPr>
        <w:widowControl/>
        <w:ind w:firstLine="602" w:firstLineChars="200"/>
        <w:jc w:val="left"/>
        <w:rPr>
          <w:rFonts w:ascii="Times New Roman" w:hAnsi="Times New Roman" w:eastAsia="仿宋" w:cs="Times New Roman"/>
          <w:b/>
          <w:bCs/>
          <w:color w:val="000000" w:themeColor="text1"/>
          <w:kern w:val="0"/>
          <w:sz w:val="30"/>
          <w:szCs w:val="30"/>
          <w:highlight w:val="none"/>
          <w14:textFill>
            <w14:solidFill>
              <w14:schemeClr w14:val="tx1"/>
            </w14:solidFill>
          </w14:textFill>
        </w:rPr>
      </w:pPr>
      <w:bookmarkStart w:id="174" w:name="_Toc28942"/>
    </w:p>
    <w:p>
      <w:pPr>
        <w:widowControl/>
        <w:ind w:firstLine="602" w:firstLineChars="200"/>
        <w:jc w:val="left"/>
        <w:rPr>
          <w:rFonts w:ascii="Times New Roman" w:hAnsi="Times New Roman" w:eastAsia="新宋体" w:cs="Times New Roman"/>
          <w:b/>
          <w:color w:val="000000" w:themeColor="text1"/>
          <w:sz w:val="28"/>
          <w:szCs w:val="28"/>
          <w:highlight w:val="none"/>
          <w14:textFill>
            <w14:solidFill>
              <w14:schemeClr w14:val="tx1"/>
            </w14:solidFill>
          </w14:textFill>
        </w:rPr>
      </w:pPr>
      <w:r>
        <w:rPr>
          <w:rFonts w:ascii="Times New Roman" w:hAnsi="Times New Roman" w:eastAsia="仿宋" w:cs="Times New Roman"/>
          <w:b/>
          <w:bCs/>
          <w:color w:val="000000" w:themeColor="text1"/>
          <w:kern w:val="0"/>
          <w:sz w:val="30"/>
          <w:szCs w:val="30"/>
          <w:highlight w:val="none"/>
          <w14:textFill>
            <w14:solidFill>
              <w14:schemeClr w14:val="tx1"/>
            </w14:solidFill>
          </w14:textFill>
        </w:rPr>
        <w:t>各投标人按照第三章第一节《评标方法前附表》内的评审因素和评审标准所罗列的内容，以表格形式在此一一对应地将投标文件中所对应页码标注说明，以便评标委员会查找和评审。</w:t>
      </w:r>
      <w:r>
        <w:rPr>
          <w:rFonts w:ascii="Times New Roman" w:hAnsi="Times New Roman" w:eastAsia="新宋体" w:cs="Times New Roman"/>
          <w:b/>
          <w:color w:val="000000" w:themeColor="text1"/>
          <w:sz w:val="28"/>
          <w:szCs w:val="28"/>
          <w:highlight w:val="none"/>
          <w14:textFill>
            <w14:solidFill>
              <w14:schemeClr w14:val="tx1"/>
            </w14:solidFill>
          </w14:textFill>
        </w:rPr>
        <w:br w:type="page"/>
      </w:r>
    </w:p>
    <w:p>
      <w:pPr>
        <w:keepNext/>
        <w:keepLines/>
        <w:tabs>
          <w:tab w:val="left" w:pos="1418"/>
        </w:tabs>
        <w:spacing w:line="280" w:lineRule="exact"/>
        <w:jc w:val="left"/>
        <w:outlineLvl w:val="2"/>
        <w:rPr>
          <w:rFonts w:ascii="Times New Roman" w:hAnsi="Times New Roman" w:eastAsia="宋体" w:cs="Times New Roman"/>
          <w:b/>
          <w:bCs/>
          <w:color w:val="000000" w:themeColor="text1"/>
          <w:kern w:val="0"/>
          <w:sz w:val="24"/>
          <w:szCs w:val="24"/>
          <w:highlight w:val="none"/>
          <w14:textFill>
            <w14:solidFill>
              <w14:schemeClr w14:val="tx1"/>
            </w14:solidFill>
          </w14:textFill>
        </w:rPr>
      </w:pPr>
      <w:r>
        <w:rPr>
          <w:rFonts w:ascii="Times New Roman" w:hAnsi="Times New Roman" w:eastAsia="宋体" w:cs="Times New Roman"/>
          <w:b/>
          <w:bCs/>
          <w:color w:val="000000" w:themeColor="text1"/>
          <w:kern w:val="0"/>
          <w:sz w:val="24"/>
          <w:szCs w:val="24"/>
          <w:highlight w:val="none"/>
          <w14:textFill>
            <w14:solidFill>
              <w14:schemeClr w14:val="tx1"/>
            </w14:solidFill>
          </w14:textFill>
        </w:rPr>
        <w:t>附件2：</w:t>
      </w:r>
      <w:bookmarkEnd w:id="174"/>
    </w:p>
    <w:p>
      <w:pPr>
        <w:keepNext/>
        <w:keepLines/>
        <w:tabs>
          <w:tab w:val="left" w:pos="1418"/>
        </w:tabs>
        <w:spacing w:line="280" w:lineRule="exact"/>
        <w:jc w:val="center"/>
        <w:rPr>
          <w:rFonts w:ascii="Times New Roman" w:hAnsi="Times New Roman" w:eastAsia="仿宋" w:cs="Times New Roman"/>
          <w:b/>
          <w:bCs/>
          <w:color w:val="000000" w:themeColor="text1"/>
          <w:kern w:val="0"/>
          <w:sz w:val="30"/>
          <w:szCs w:val="30"/>
          <w:highlight w:val="none"/>
          <w14:textFill>
            <w14:solidFill>
              <w14:schemeClr w14:val="tx1"/>
            </w14:solidFill>
          </w14:textFill>
        </w:rPr>
      </w:pPr>
      <w:r>
        <w:rPr>
          <w:rFonts w:ascii="Times New Roman" w:hAnsi="Times New Roman" w:eastAsia="仿宋" w:cs="Times New Roman"/>
          <w:b/>
          <w:bCs/>
          <w:color w:val="000000" w:themeColor="text1"/>
          <w:kern w:val="0"/>
          <w:sz w:val="30"/>
          <w:szCs w:val="30"/>
          <w:highlight w:val="none"/>
          <w14:textFill>
            <w14:solidFill>
              <w14:schemeClr w14:val="tx1"/>
            </w14:solidFill>
          </w14:textFill>
        </w:rPr>
        <w:t>商务符合性应答表</w:t>
      </w:r>
    </w:p>
    <w:p>
      <w:pPr>
        <w:spacing w:line="300" w:lineRule="exact"/>
        <w:rPr>
          <w:rFonts w:ascii="Times New Roman" w:hAnsi="Times New Roman" w:eastAsia="仿宋" w:cs="Times New Roman"/>
          <w:bCs/>
          <w:color w:val="000000" w:themeColor="text1"/>
          <w:szCs w:val="21"/>
          <w:highlight w:val="none"/>
          <w:u w:val="single"/>
          <w14:textFill>
            <w14:solidFill>
              <w14:schemeClr w14:val="tx1"/>
            </w14:solidFill>
          </w14:textFill>
        </w:rPr>
      </w:pPr>
    </w:p>
    <w:p>
      <w:pPr>
        <w:spacing w:line="300" w:lineRule="exact"/>
        <w:rPr>
          <w:rFonts w:ascii="Times New Roman" w:hAnsi="Times New Roman" w:eastAsia="仿宋" w:cs="Times New Roman"/>
          <w:bCs/>
          <w:color w:val="000000" w:themeColor="text1"/>
          <w:szCs w:val="21"/>
          <w:highlight w:val="none"/>
          <w:u w:val="single"/>
          <w14:textFill>
            <w14:solidFill>
              <w14:schemeClr w14:val="tx1"/>
            </w14:solidFill>
          </w14:textFill>
        </w:rPr>
      </w:pPr>
      <w:r>
        <w:rPr>
          <w:rFonts w:hint="eastAsia" w:ascii="Times New Roman" w:hAnsi="Times New Roman" w:eastAsia="仿宋" w:cs="Times New Roman"/>
          <w:bCs/>
          <w:color w:val="000000" w:themeColor="text1"/>
          <w:szCs w:val="21"/>
          <w:highlight w:val="none"/>
          <w:u w:val="single"/>
          <w14:textFill>
            <w14:solidFill>
              <w14:schemeClr w14:val="tx1"/>
            </w14:solidFill>
          </w14:textFill>
        </w:rPr>
        <w:t>（该表以招标文件正文第五章《项目需求》中“商务符合性要求”描述为准，请各投标人按以下序号作出响应。若该表中“招标要求”的各项内容有与第五章《项目需求》中“商务符合性要求”描述不一致的，以“商务符合性要求”描述为准。）</w:t>
      </w:r>
    </w:p>
    <w:tbl>
      <w:tblPr>
        <w:tblStyle w:val="58"/>
        <w:tblpPr w:leftFromText="180" w:rightFromText="180" w:vertAnchor="text" w:horzAnchor="margin" w:tblpX="-1168" w:tblpY="52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945"/>
        <w:gridCol w:w="11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shd w:val="clear" w:color="auto" w:fill="BFBFBF"/>
            <w:vAlign w:val="center"/>
          </w:tcPr>
          <w:p>
            <w:pPr>
              <w:tabs>
                <w:tab w:val="left" w:pos="1050"/>
                <w:tab w:val="left" w:pos="1470"/>
              </w:tabs>
              <w:spacing w:line="40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条款号</w:t>
            </w:r>
          </w:p>
        </w:tc>
        <w:tc>
          <w:tcPr>
            <w:tcW w:w="6945" w:type="dxa"/>
            <w:shd w:val="clear" w:color="auto" w:fill="BFBFBF"/>
            <w:vAlign w:val="center"/>
          </w:tcPr>
          <w:p>
            <w:pPr>
              <w:tabs>
                <w:tab w:val="left" w:pos="1050"/>
                <w:tab w:val="left" w:pos="1470"/>
              </w:tabs>
              <w:spacing w:line="40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招标要求</w:t>
            </w:r>
          </w:p>
        </w:tc>
        <w:tc>
          <w:tcPr>
            <w:tcW w:w="1168" w:type="dxa"/>
            <w:shd w:val="clear" w:color="auto" w:fill="BFBFBF"/>
            <w:vAlign w:val="center"/>
          </w:tcPr>
          <w:p>
            <w:pPr>
              <w:tabs>
                <w:tab w:val="left" w:pos="1050"/>
                <w:tab w:val="left" w:pos="1470"/>
              </w:tabs>
              <w:spacing w:line="40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有否偏离</w:t>
            </w:r>
          </w:p>
        </w:tc>
        <w:tc>
          <w:tcPr>
            <w:tcW w:w="1276" w:type="dxa"/>
            <w:shd w:val="clear" w:color="auto" w:fill="BFBFBF"/>
          </w:tcPr>
          <w:p>
            <w:pPr>
              <w:tabs>
                <w:tab w:val="left" w:pos="1050"/>
                <w:tab w:val="left" w:pos="1470"/>
              </w:tabs>
              <w:spacing w:line="40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如有偏离，</w:t>
            </w:r>
          </w:p>
          <w:p>
            <w:pPr>
              <w:tabs>
                <w:tab w:val="left" w:pos="1050"/>
                <w:tab w:val="left" w:pos="1470"/>
              </w:tabs>
              <w:spacing w:line="40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1</w:t>
            </w:r>
          </w:p>
        </w:tc>
        <w:tc>
          <w:tcPr>
            <w:tcW w:w="6945" w:type="dxa"/>
          </w:tcPr>
          <w:p>
            <w:pPr>
              <w:tabs>
                <w:tab w:val="left" w:pos="1050"/>
                <w:tab w:val="left" w:pos="1470"/>
              </w:tabs>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服务内容：</w:t>
            </w:r>
            <w:r>
              <w:rPr>
                <w:rFonts w:ascii="Times New Roman" w:hAnsi="Times New Roman" w:eastAsia="宋体" w:cs="Times New Roman"/>
                <w:color w:val="000000" w:themeColor="text1"/>
                <w:szCs w:val="21"/>
                <w:highlight w:val="none"/>
                <w14:textFill>
                  <w14:solidFill>
                    <w14:schemeClr w14:val="tx1"/>
                  </w14:solidFill>
                </w14:textFill>
              </w:rPr>
              <w:t>详见</w:t>
            </w:r>
            <w:r>
              <w:rPr>
                <w:rFonts w:hint="eastAsia" w:ascii="Times New Roman" w:hAnsi="Times New Roman" w:eastAsia="宋体" w:cs="Times New Roman"/>
                <w:color w:val="000000" w:themeColor="text1"/>
                <w:szCs w:val="21"/>
                <w:highlight w:val="none"/>
                <w14:textFill>
                  <w14:solidFill>
                    <w14:schemeClr w14:val="tx1"/>
                  </w14:solidFill>
                </w14:textFill>
              </w:rPr>
              <w:t>本文件第二章中投标人须知前附表</w:t>
            </w:r>
            <w:r>
              <w:rPr>
                <w:rFonts w:ascii="Times New Roman" w:hAnsi="Times New Roman" w:eastAsia="宋体" w:cs="Times New Roman"/>
                <w:color w:val="000000" w:themeColor="text1"/>
                <w:szCs w:val="21"/>
                <w:highlight w:val="none"/>
                <w14:textFill>
                  <w14:solidFill>
                    <w14:schemeClr w14:val="tx1"/>
                  </w14:solidFill>
                </w14:textFill>
              </w:rPr>
              <w:t>。</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14:textFill>
                  <w14:solidFill>
                    <w14:schemeClr w14:val="tx1"/>
                  </w14:solidFill>
                </w14:textFill>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2</w:t>
            </w:r>
          </w:p>
        </w:tc>
        <w:tc>
          <w:tcPr>
            <w:tcW w:w="6945" w:type="dxa"/>
          </w:tcPr>
          <w:p>
            <w:pPr>
              <w:tabs>
                <w:tab w:val="left" w:pos="1050"/>
                <w:tab w:val="left" w:pos="1470"/>
              </w:tabs>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服务地点：详见本文件第二章中投标人须知前附表。</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14:textFill>
                  <w14:solidFill>
                    <w14:schemeClr w14:val="tx1"/>
                  </w14:solidFill>
                </w14:textFill>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w:t>
            </w:r>
          </w:p>
        </w:tc>
        <w:tc>
          <w:tcPr>
            <w:tcW w:w="6945" w:type="dxa"/>
          </w:tcPr>
          <w:p>
            <w:pPr>
              <w:tabs>
                <w:tab w:val="left" w:pos="1050"/>
                <w:tab w:val="left" w:pos="1470"/>
              </w:tabs>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服务期限：详见本文件第二章中投标人须知前附表。</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14:textFill>
                  <w14:solidFill>
                    <w14:schemeClr w14:val="tx1"/>
                  </w14:solidFill>
                </w14:textFill>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w:t>
            </w:r>
          </w:p>
        </w:tc>
        <w:tc>
          <w:tcPr>
            <w:tcW w:w="6945" w:type="dxa"/>
            <w:vAlign w:val="center"/>
          </w:tcPr>
          <w:p>
            <w:pPr>
              <w:tabs>
                <w:tab w:val="left" w:pos="1050"/>
                <w:tab w:val="left" w:pos="1470"/>
              </w:tabs>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w:t>
            </w:r>
            <w:r>
              <w:rPr>
                <w:rFonts w:ascii="Times New Roman" w:hAnsi="Times New Roman" w:eastAsia="宋体" w:cs="Times New Roman"/>
                <w:color w:val="000000" w:themeColor="text1"/>
                <w:szCs w:val="21"/>
                <w:highlight w:val="none"/>
                <w14:textFill>
                  <w14:solidFill>
                    <w14:schemeClr w14:val="tx1"/>
                  </w14:solidFill>
                </w14:textFill>
              </w:rPr>
              <w:t>质量及验收要求：</w:t>
            </w:r>
            <w:r>
              <w:rPr>
                <w:rFonts w:hint="eastAsia" w:ascii="Times New Roman" w:hAnsi="Times New Roman" w:eastAsia="宋体" w:cs="Times New Roman"/>
                <w:color w:val="000000" w:themeColor="text1"/>
                <w:szCs w:val="21"/>
                <w:highlight w:val="none"/>
                <w14:textFill>
                  <w14:solidFill>
                    <w14:schemeClr w14:val="tx1"/>
                  </w14:solidFill>
                </w14:textFill>
              </w:rPr>
              <w:t>详见本文件第一章《招标公告》。</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14:textFill>
                  <w14:solidFill>
                    <w14:schemeClr w14:val="tx1"/>
                  </w14:solidFill>
                </w14:textFill>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5</w:t>
            </w:r>
          </w:p>
        </w:tc>
        <w:tc>
          <w:tcPr>
            <w:tcW w:w="6945" w:type="dxa"/>
          </w:tcPr>
          <w:p>
            <w:pPr>
              <w:tabs>
                <w:tab w:val="left" w:pos="1050"/>
                <w:tab w:val="left" w:pos="1470"/>
              </w:tabs>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服务成果要求：详见本文件第一章《招标公告》。</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14:textFill>
                  <w14:solidFill>
                    <w14:schemeClr w14:val="tx1"/>
                  </w14:solidFill>
                </w14:textFill>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w:t>
            </w:r>
          </w:p>
        </w:tc>
        <w:tc>
          <w:tcPr>
            <w:tcW w:w="6945" w:type="dxa"/>
          </w:tcPr>
          <w:p>
            <w:pPr>
              <w:tabs>
                <w:tab w:val="left" w:pos="1050"/>
                <w:tab w:val="left" w:pos="1470"/>
              </w:tabs>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售后服务要求：详见本文件第一章《招标公告》。</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14:textFill>
                  <w14:solidFill>
                    <w14:schemeClr w14:val="tx1"/>
                  </w14:solidFill>
                </w14:textFill>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w:t>
            </w:r>
          </w:p>
        </w:tc>
        <w:tc>
          <w:tcPr>
            <w:tcW w:w="6945" w:type="dxa"/>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付款方式：</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以转账方式支付，分次支付：</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1、合同签订后支付合同总金额的10%；</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2、人行大集中报表、银监非现场监管报表、利率报备、金融标准化完成并成功上线试运行后，支付合同总金额的20%；</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3、其他管理模块完成并成功上线试运行后，支付合同总金额的30%；</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4)</w:t>
            </w:r>
            <w:r>
              <w:rPr>
                <w:rFonts w:ascii="Times New Roman" w:hAnsi="Times New Roman" w:eastAsia="宋体" w:cs="Times New Roman"/>
                <w:color w:val="000000" w:themeColor="text1"/>
                <w:szCs w:val="21"/>
                <w:highlight w:val="non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整体项目通过最终验收（上线后3个月），支付合同总金额的30%；</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5）项目最终验收后免费维护一年期满的20个工作日内，支付合同约定系统实施费的10%（尾款）。</w:t>
            </w:r>
          </w:p>
          <w:p>
            <w:pPr>
              <w:tabs>
                <w:tab w:val="left" w:pos="1050"/>
                <w:tab w:val="left" w:pos="1470"/>
              </w:tabs>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14:textFill>
                  <w14:solidFill>
                    <w14:schemeClr w14:val="tx1"/>
                  </w14:solidFill>
                </w14:textFill>
              </w:rPr>
              <w:t>特别说明，每次付款前供应商须提供相应金额的可全额抵扣的增值税专用发票。</w:t>
            </w:r>
          </w:p>
        </w:tc>
        <w:tc>
          <w:tcPr>
            <w:tcW w:w="1168" w:type="dxa"/>
          </w:tcPr>
          <w:p>
            <w:pPr>
              <w:tabs>
                <w:tab w:val="left" w:pos="1050"/>
                <w:tab w:val="left" w:pos="1470"/>
              </w:tabs>
              <w:spacing w:line="300" w:lineRule="exact"/>
              <w:rPr>
                <w:rFonts w:ascii="Times New Roman" w:hAnsi="Times New Roman" w:cs="Times New Roman"/>
                <w:bCs/>
                <w:color w:val="000000" w:themeColor="text1"/>
                <w:szCs w:val="21"/>
                <w:highlight w:val="none"/>
                <w14:textFill>
                  <w14:solidFill>
                    <w14:schemeClr w14:val="tx1"/>
                  </w14:solidFill>
                </w14:textFill>
              </w:rPr>
            </w:pPr>
          </w:p>
        </w:tc>
        <w:tc>
          <w:tcPr>
            <w:tcW w:w="1276" w:type="dxa"/>
          </w:tcPr>
          <w:p>
            <w:pPr>
              <w:tabs>
                <w:tab w:val="left" w:pos="1050"/>
                <w:tab w:val="left" w:pos="1470"/>
              </w:tabs>
              <w:spacing w:line="400" w:lineRule="exact"/>
              <w:rPr>
                <w:rFonts w:ascii="Times New Roman" w:hAnsi="Times New Roman" w:cs="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8</w:t>
            </w:r>
          </w:p>
        </w:tc>
        <w:tc>
          <w:tcPr>
            <w:tcW w:w="6945" w:type="dxa"/>
          </w:tcPr>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1、履约担保金额：</w:t>
            </w:r>
            <w:r>
              <w:rPr>
                <w:rFonts w:hint="eastAsia" w:ascii="Times New Roman" w:hAnsi="Times New Roman" w:eastAsia="宋体" w:cs="Times New Roman"/>
                <w:color w:val="000000" w:themeColor="text1"/>
                <w:szCs w:val="21"/>
                <w:highlight w:val="none"/>
                <w14:textFill>
                  <w14:solidFill>
                    <w14:schemeClr w14:val="tx1"/>
                  </w14:solidFill>
                </w14:textFill>
              </w:rPr>
              <w:t>合同总金额的10%</w:t>
            </w:r>
            <w:r>
              <w:rPr>
                <w:rFonts w:ascii="Times New Roman" w:hAnsi="Times New Roman" w:eastAsia="宋体" w:cs="Times New Roman"/>
                <w:color w:val="000000" w:themeColor="text1"/>
                <w:szCs w:val="21"/>
                <w:highlight w:val="none"/>
                <w14:textFill>
                  <w14:solidFill>
                    <w14:schemeClr w14:val="tx1"/>
                  </w14:solidFill>
                </w14:textFill>
              </w:rPr>
              <w:t>；</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2、履约担保方式：银行转账支票、银行汇票；</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3、履约担保提交时间：中标人须收到中标通知书后</w:t>
            </w:r>
            <w:r>
              <w:rPr>
                <w:rFonts w:ascii="Times New Roman" w:hAnsi="Times New Roman" w:eastAsia="宋体" w:cs="Times New Roman"/>
                <w:color w:val="000000" w:themeColor="text1"/>
                <w:szCs w:val="21"/>
                <w:highlight w:val="none"/>
                <w:u w:val="single"/>
                <w14:textFill>
                  <w14:solidFill>
                    <w14:schemeClr w14:val="tx1"/>
                  </w14:solidFill>
                </w14:textFill>
              </w:rPr>
              <w:t>10</w:t>
            </w:r>
            <w:r>
              <w:rPr>
                <w:rFonts w:ascii="Times New Roman" w:hAnsi="Times New Roman" w:eastAsia="宋体" w:cs="Times New Roman"/>
                <w:color w:val="000000" w:themeColor="text1"/>
                <w:szCs w:val="21"/>
                <w:highlight w:val="none"/>
                <w14:textFill>
                  <w14:solidFill>
                    <w14:schemeClr w14:val="tx1"/>
                  </w14:solidFill>
                </w14:textFill>
              </w:rPr>
              <w:t>日内提交；</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（户名：重庆银行股份有限公司账号：999801011407008  开户行：重庆银行股份有限公司</w:t>
            </w:r>
          </w:p>
          <w:p>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行号：313653000013）</w:t>
            </w:r>
          </w:p>
          <w:p>
            <w:pPr>
              <w:tabs>
                <w:tab w:val="left" w:pos="1050"/>
                <w:tab w:val="left" w:pos="1470"/>
              </w:tabs>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4、履约保证金退还时间：合同执行完毕，供应商如无违约行为，将一次性无息退还。如有违约，仅退还扣除违约金后的余额。</w:t>
            </w:r>
          </w:p>
        </w:tc>
        <w:tc>
          <w:tcPr>
            <w:tcW w:w="1168" w:type="dxa"/>
          </w:tcPr>
          <w:p>
            <w:pPr>
              <w:spacing w:line="300" w:lineRule="exact"/>
              <w:rPr>
                <w:rFonts w:ascii="Times New Roman" w:hAnsi="Times New Roman" w:cs="Times New Roman"/>
                <w:color w:val="000000" w:themeColor="text1"/>
                <w:szCs w:val="21"/>
                <w:highlight w:val="none"/>
                <w14:textFill>
                  <w14:solidFill>
                    <w14:schemeClr w14:val="tx1"/>
                  </w14:solidFill>
                </w14:textFill>
              </w:rPr>
            </w:pPr>
          </w:p>
        </w:tc>
        <w:tc>
          <w:tcPr>
            <w:tcW w:w="1276" w:type="dxa"/>
          </w:tcPr>
          <w:p>
            <w:pPr>
              <w:spacing w:line="400" w:lineRule="exac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vAlign w:val="center"/>
          </w:tcPr>
          <w:p>
            <w:pPr>
              <w:tabs>
                <w:tab w:val="left" w:pos="1050"/>
                <w:tab w:val="left" w:pos="1470"/>
              </w:tabs>
              <w:spacing w:line="300" w:lineRule="exac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9</w:t>
            </w:r>
          </w:p>
        </w:tc>
        <w:tc>
          <w:tcPr>
            <w:tcW w:w="6945" w:type="dxa"/>
          </w:tcPr>
          <w:p>
            <w:pPr>
              <w:numPr>
                <w:ilvl w:val="255"/>
                <w:numId w:val="0"/>
              </w:numPr>
              <w:tabs>
                <w:tab w:val="left" w:pos="1050"/>
                <w:tab w:val="left" w:pos="1470"/>
              </w:tabs>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投标人</w:t>
            </w:r>
            <w:r>
              <w:rPr>
                <w:rFonts w:ascii="Times New Roman" w:hAnsi="Times New Roman" w:eastAsia="宋体" w:cs="Times New Roman"/>
                <w:color w:val="000000" w:themeColor="text1"/>
                <w:szCs w:val="21"/>
                <w:highlight w:val="none"/>
                <w14:textFill>
                  <w14:solidFill>
                    <w14:schemeClr w14:val="tx1"/>
                  </w14:solidFill>
                </w14:textFill>
              </w:rPr>
              <w:t>应在投标文件中明确说明项目人员安排。中标后项目实施期间，所有人员入场、撤场、更换均需得到行方项目经理及其直属领导审批同意。其中，项目经理应有统一监管报送平台项目的项目经理从业经验3个</w:t>
            </w:r>
            <w:r>
              <w:rPr>
                <w:rFonts w:hint="eastAsia" w:ascii="Times New Roman" w:hAnsi="Times New Roman" w:eastAsia="宋体" w:cs="Times New Roman"/>
                <w:color w:val="000000" w:themeColor="text1"/>
                <w:szCs w:val="21"/>
                <w:highlight w:val="none"/>
                <w14:textFill>
                  <w14:solidFill>
                    <w14:schemeClr w14:val="tx1"/>
                  </w14:solidFill>
                </w14:textFill>
              </w:rPr>
              <w:t>或</w:t>
            </w:r>
            <w:r>
              <w:rPr>
                <w:rFonts w:ascii="Times New Roman" w:hAnsi="Times New Roman" w:eastAsia="宋体" w:cs="Times New Roman"/>
                <w:color w:val="000000" w:themeColor="text1"/>
                <w:szCs w:val="21"/>
                <w:highlight w:val="none"/>
                <w14:textFill>
                  <w14:solidFill>
                    <w14:schemeClr w14:val="tx1"/>
                  </w14:solidFill>
                </w14:textFill>
              </w:rPr>
              <w:t>以上，项目组成员应有统一监管报送平台项目的技术从业经验3个</w:t>
            </w:r>
            <w:r>
              <w:rPr>
                <w:rFonts w:hint="eastAsia" w:ascii="Times New Roman" w:hAnsi="Times New Roman" w:eastAsia="宋体" w:cs="Times New Roman"/>
                <w:color w:val="000000" w:themeColor="text1"/>
                <w:szCs w:val="21"/>
                <w:highlight w:val="none"/>
                <w14:textFill>
                  <w14:solidFill>
                    <w14:schemeClr w14:val="tx1"/>
                  </w14:solidFill>
                </w14:textFill>
              </w:rPr>
              <w:t>或</w:t>
            </w:r>
            <w:r>
              <w:rPr>
                <w:rFonts w:ascii="Times New Roman" w:hAnsi="Times New Roman" w:eastAsia="宋体" w:cs="Times New Roman"/>
                <w:color w:val="000000" w:themeColor="text1"/>
                <w:szCs w:val="21"/>
                <w:highlight w:val="none"/>
                <w14:textFill>
                  <w14:solidFill>
                    <w14:schemeClr w14:val="tx1"/>
                  </w14:solidFill>
                </w14:textFill>
              </w:rPr>
              <w:t>以上。</w:t>
            </w:r>
          </w:p>
        </w:tc>
        <w:tc>
          <w:tcPr>
            <w:tcW w:w="1168" w:type="dxa"/>
          </w:tcPr>
          <w:p>
            <w:pPr>
              <w:tabs>
                <w:tab w:val="left" w:pos="1050"/>
                <w:tab w:val="left" w:pos="1470"/>
              </w:tabs>
              <w:spacing w:line="300" w:lineRule="exact"/>
              <w:rPr>
                <w:rFonts w:ascii="Times New Roman" w:hAnsi="Times New Roman" w:cs="Times New Roman"/>
                <w:color w:val="000000" w:themeColor="text1"/>
                <w:szCs w:val="21"/>
                <w:highlight w:val="none"/>
                <w14:textFill>
                  <w14:solidFill>
                    <w14:schemeClr w14:val="tx1"/>
                  </w14:solidFill>
                </w14:textFill>
              </w:rPr>
            </w:pPr>
          </w:p>
        </w:tc>
        <w:tc>
          <w:tcPr>
            <w:tcW w:w="1276" w:type="dxa"/>
          </w:tcPr>
          <w:p>
            <w:pPr>
              <w:tabs>
                <w:tab w:val="left" w:pos="1050"/>
                <w:tab w:val="left" w:pos="1470"/>
              </w:tabs>
              <w:spacing w:line="400" w:lineRule="exact"/>
              <w:rPr>
                <w:rFonts w:ascii="Times New Roman" w:hAnsi="Times New Roman" w:cs="Times New Roman"/>
                <w:color w:val="000000" w:themeColor="text1"/>
                <w:szCs w:val="21"/>
                <w:highlight w:val="none"/>
                <w14:textFill>
                  <w14:solidFill>
                    <w14:schemeClr w14:val="tx1"/>
                  </w14:solidFill>
                </w14:textFill>
              </w:rPr>
            </w:pPr>
          </w:p>
        </w:tc>
      </w:tr>
    </w:tbl>
    <w:p>
      <w:pPr>
        <w:spacing w:line="300" w:lineRule="exact"/>
        <w:jc w:val="left"/>
        <w:rPr>
          <w:rFonts w:ascii="Times New Roman" w:hAnsi="Times New Roman" w:cs="Times New Roman"/>
          <w:bCs/>
          <w:color w:val="000000" w:themeColor="text1"/>
          <w:szCs w:val="21"/>
          <w:highlight w:val="none"/>
          <w:u w:val="single"/>
          <w14:textFill>
            <w14:solidFill>
              <w14:schemeClr w14:val="tx1"/>
            </w14:solidFill>
          </w14:textFill>
        </w:rPr>
      </w:pPr>
    </w:p>
    <w:p>
      <w:pPr>
        <w:tabs>
          <w:tab w:val="left" w:pos="1050"/>
          <w:tab w:val="left" w:pos="1470"/>
        </w:tabs>
        <w:adjustRightInd w:val="0"/>
        <w:spacing w:line="400" w:lineRule="exact"/>
        <w:jc w:val="lef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注：请各投标人仔细阅读招标文件相关条款，投标人对招标文件要求进行响应后，招标人在后期合同签订和项目实施过程中将按照招标文件要求执行，不再做出调整。</w:t>
      </w:r>
    </w:p>
    <w:p>
      <w:pPr>
        <w:tabs>
          <w:tab w:val="left" w:pos="1050"/>
          <w:tab w:val="left" w:pos="1470"/>
        </w:tabs>
        <w:adjustRightInd w:val="0"/>
        <w:spacing w:line="400" w:lineRule="exact"/>
        <w:jc w:val="left"/>
        <w:rPr>
          <w:rFonts w:ascii="Times New Roman" w:hAnsi="Times New Roman" w:eastAsia="宋体" w:cs="Times New Roman"/>
          <w:color w:val="000000" w:themeColor="text1"/>
          <w:szCs w:val="21"/>
          <w:highlight w:val="none"/>
          <w14:textFill>
            <w14:solidFill>
              <w14:schemeClr w14:val="tx1"/>
            </w14:solidFill>
          </w14:textFill>
        </w:rPr>
      </w:pPr>
    </w:p>
    <w:p>
      <w:pPr>
        <w:tabs>
          <w:tab w:val="left" w:pos="1050"/>
          <w:tab w:val="left" w:pos="1470"/>
        </w:tabs>
        <w:adjustRightInd w:val="0"/>
        <w:spacing w:line="400" w:lineRule="exact"/>
        <w:jc w:val="left"/>
        <w:rPr>
          <w:rFonts w:ascii="Times New Roman" w:hAnsi="Times New Roman" w:eastAsia="宋体" w:cs="Times New Roman"/>
          <w:color w:val="000000" w:themeColor="text1"/>
          <w:szCs w:val="21"/>
          <w:highlight w:val="none"/>
          <w14:textFill>
            <w14:solidFill>
              <w14:schemeClr w14:val="tx1"/>
            </w14:solidFill>
          </w14:textFill>
        </w:rPr>
      </w:pPr>
    </w:p>
    <w:p>
      <w:pPr>
        <w:spacing w:line="360" w:lineRule="auto"/>
        <w:jc w:val="left"/>
        <w:rPr>
          <w:rFonts w:ascii="Times New Roman" w:hAnsi="Times New Roman" w:cs="Times New Roman"/>
          <w:b/>
          <w:color w:val="000000" w:themeColor="text1"/>
          <w:szCs w:val="24"/>
          <w:highlight w:val="none"/>
          <w14:textFill>
            <w14:solidFill>
              <w14:schemeClr w14:val="tx1"/>
            </w14:solidFill>
          </w14:textFill>
        </w:rPr>
      </w:pPr>
      <w:r>
        <w:rPr>
          <w:rFonts w:hint="eastAsia" w:ascii="Times New Roman" w:hAnsi="Times New Roman" w:cs="Times New Roman"/>
          <w:b/>
          <w:color w:val="000000" w:themeColor="text1"/>
          <w:szCs w:val="24"/>
          <w:highlight w:val="none"/>
          <w14:textFill>
            <w14:solidFill>
              <w14:schemeClr w14:val="tx1"/>
            </w14:solidFill>
          </w14:textFill>
        </w:rPr>
        <w:t>投标人（公章）：</w:t>
      </w:r>
    </w:p>
    <w:p>
      <w:pPr>
        <w:spacing w:line="360" w:lineRule="auto"/>
        <w:rPr>
          <w:rFonts w:ascii="Times New Roman" w:hAnsi="Times New Roman" w:cs="Times New Roman"/>
          <w:b/>
          <w:color w:val="000000" w:themeColor="text1"/>
          <w:szCs w:val="24"/>
          <w:highlight w:val="none"/>
          <w14:textFill>
            <w14:solidFill>
              <w14:schemeClr w14:val="tx1"/>
            </w14:solidFill>
          </w14:textFill>
        </w:rPr>
      </w:pPr>
      <w:r>
        <w:rPr>
          <w:rFonts w:ascii="Times New Roman" w:hAnsi="Times New Roman" w:cs="Times New Roman"/>
          <w:b/>
          <w:color w:val="000000" w:themeColor="text1"/>
          <w:szCs w:val="24"/>
          <w:highlight w:val="none"/>
          <w14:textFill>
            <w14:solidFill>
              <w14:schemeClr w14:val="tx1"/>
            </w14:solidFill>
          </w14:textFill>
        </w:rPr>
        <w:t>法定代表人或其委托代理人：（盖章或签字）</w:t>
      </w:r>
    </w:p>
    <w:p>
      <w:pPr>
        <w:spacing w:line="360" w:lineRule="auto"/>
        <w:ind w:firstLine="517" w:firstLineChars="245"/>
        <w:rPr>
          <w:rFonts w:ascii="Times New Roman" w:hAnsi="Times New Roman" w:cs="Times New Roman"/>
          <w:b/>
          <w:color w:val="000000" w:themeColor="text1"/>
          <w:szCs w:val="24"/>
          <w:highlight w:val="none"/>
          <w14:textFill>
            <w14:solidFill>
              <w14:schemeClr w14:val="tx1"/>
            </w14:solidFill>
          </w14:textFill>
        </w:rPr>
      </w:pPr>
      <w:r>
        <w:rPr>
          <w:rFonts w:ascii="Times New Roman" w:hAnsi="Times New Roman" w:cs="Times New Roman"/>
          <w:b/>
          <w:color w:val="000000" w:themeColor="text1"/>
          <w:szCs w:val="24"/>
          <w:highlight w:val="none"/>
          <w14:textFill>
            <w14:solidFill>
              <w14:schemeClr w14:val="tx1"/>
            </w14:solidFill>
          </w14:textFill>
        </w:rPr>
        <w:t>年月日</w:t>
      </w:r>
    </w:p>
    <w:p>
      <w:pPr>
        <w:spacing w:line="360" w:lineRule="auto"/>
        <w:rPr>
          <w:rFonts w:ascii="Times New Roman" w:hAnsi="Times New Roman" w:cs="Times New Roman"/>
          <w:color w:val="000000" w:themeColor="text1"/>
          <w:highlight w:val="none"/>
          <w14:textFill>
            <w14:solidFill>
              <w14:schemeClr w14:val="tx1"/>
            </w14:solidFill>
          </w14:textFill>
        </w:rPr>
      </w:pPr>
    </w:p>
    <w:p>
      <w:pPr>
        <w:tabs>
          <w:tab w:val="left" w:pos="1050"/>
          <w:tab w:val="left" w:pos="1470"/>
        </w:tabs>
        <w:adjustRightInd w:val="0"/>
        <w:spacing w:line="400" w:lineRule="exact"/>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附件3：投标人业绩表</w:t>
      </w:r>
    </w:p>
    <w:p>
      <w:pPr>
        <w:spacing w:line="360" w:lineRule="auto"/>
        <w:jc w:val="center"/>
        <w:rPr>
          <w:rFonts w:ascii="Times New Roman" w:hAnsi="Times New Roman" w:cs="Times New Roman"/>
          <w:b/>
          <w:color w:val="000000" w:themeColor="text1"/>
          <w:kern w:val="0"/>
          <w:sz w:val="28"/>
          <w:szCs w:val="21"/>
          <w:highlight w:val="none"/>
          <w14:textFill>
            <w14:solidFill>
              <w14:schemeClr w14:val="tx1"/>
            </w14:solidFill>
          </w14:textFill>
        </w:rPr>
      </w:pPr>
      <w:r>
        <w:rPr>
          <w:rFonts w:hint="eastAsia" w:ascii="Times New Roman" w:hAnsi="Times New Roman" w:cs="Times New Roman"/>
          <w:b/>
          <w:color w:val="000000" w:themeColor="text1"/>
          <w:kern w:val="0"/>
          <w:sz w:val="28"/>
          <w:szCs w:val="21"/>
          <w:highlight w:val="none"/>
          <w14:textFill>
            <w14:solidFill>
              <w14:schemeClr w14:val="tx1"/>
            </w14:solidFill>
          </w14:textFill>
        </w:rPr>
        <w:t>资格评审业绩情况表</w:t>
      </w:r>
    </w:p>
    <w:p>
      <w:pPr>
        <w:spacing w:line="360" w:lineRule="auto"/>
        <w:ind w:left="-283" w:leftChars="-135" w:right="-57" w:rightChars="-27"/>
        <w:jc w:val="center"/>
        <w:rPr>
          <w:rFonts w:ascii="Times New Roman" w:hAnsi="Times New Roman" w:cs="Times New Roman"/>
          <w:b/>
          <w:color w:val="000000" w:themeColor="text1"/>
          <w:kern w:val="0"/>
          <w:szCs w:val="21"/>
          <w:highlight w:val="none"/>
          <w14:textFill>
            <w14:solidFill>
              <w14:schemeClr w14:val="tx1"/>
            </w14:solidFill>
          </w14:textFill>
        </w:rPr>
      </w:pPr>
      <w:r>
        <w:rPr>
          <w:rFonts w:hint="eastAsia" w:ascii="Times New Roman" w:hAnsi="Times New Roman" w:cs="Times New Roman"/>
          <w:b/>
          <w:color w:val="000000" w:themeColor="text1"/>
          <w:kern w:val="0"/>
          <w:szCs w:val="21"/>
          <w:highlight w:val="none"/>
          <w14:textFill>
            <w14:solidFill>
              <w14:schemeClr w14:val="tx1"/>
            </w14:solidFill>
          </w14:textFill>
        </w:rPr>
        <w:t>（请投标人根据招标文件要求如实认真填写附件相关表格资料）</w:t>
      </w:r>
    </w:p>
    <w:tbl>
      <w:tblPr>
        <w:tblStyle w:val="58"/>
        <w:tblW w:w="8375" w:type="dxa"/>
        <w:jc w:val="center"/>
        <w:tblInd w:w="-10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74"/>
        <w:gridCol w:w="1417"/>
        <w:gridCol w:w="1985"/>
        <w:gridCol w:w="170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序号</w:t>
            </w:r>
          </w:p>
        </w:tc>
        <w:tc>
          <w:tcPr>
            <w:tcW w:w="1074"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合同签订时间</w:t>
            </w:r>
          </w:p>
        </w:tc>
        <w:tc>
          <w:tcPr>
            <w:tcW w:w="1417"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项目名称</w:t>
            </w:r>
          </w:p>
        </w:tc>
        <w:tc>
          <w:tcPr>
            <w:tcW w:w="1985"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合同采购方名称、联系人及联系方式</w:t>
            </w:r>
          </w:p>
        </w:tc>
        <w:tc>
          <w:tcPr>
            <w:tcW w:w="1701"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案例内容包含的模块类型</w:t>
            </w:r>
          </w:p>
        </w:tc>
        <w:tc>
          <w:tcPr>
            <w:tcW w:w="1223"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案例</w:t>
            </w:r>
            <w:r>
              <w:rPr>
                <w:rFonts w:ascii="Times New Roman" w:hAnsi="Times New Roman" w:cs="Times New Roman"/>
                <w:b/>
                <w:bCs/>
                <w:color w:val="000000" w:themeColor="text1"/>
                <w:kern w:val="0"/>
                <w:szCs w:val="21"/>
                <w:highlight w:val="none"/>
                <w14:textFill>
                  <w14:solidFill>
                    <w14:schemeClr w14:val="tx1"/>
                  </w14:solidFill>
                </w14:textFill>
              </w:rPr>
              <w:t>1</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案例</w:t>
            </w:r>
            <w:r>
              <w:rPr>
                <w:rFonts w:ascii="Times New Roman" w:hAnsi="Times New Roman" w:cs="Times New Roman"/>
                <w:b/>
                <w:bCs/>
                <w:color w:val="000000" w:themeColor="text1"/>
                <w:kern w:val="0"/>
                <w:szCs w:val="21"/>
                <w:highlight w:val="none"/>
                <w14:textFill>
                  <w14:solidFill>
                    <w14:schemeClr w14:val="tx1"/>
                  </w14:solidFill>
                </w14:textFill>
              </w:rPr>
              <w:t>2</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r>
    </w:tbl>
    <w:p>
      <w:pPr>
        <w:spacing w:line="360" w:lineRule="auto"/>
        <w:rPr>
          <w:rFonts w:ascii="Times New Roman" w:hAnsi="Times New Roman" w:cs="Times New Roman"/>
          <w:b/>
          <w:color w:val="000000" w:themeColor="text1"/>
          <w:kern w:val="0"/>
          <w:sz w:val="28"/>
          <w:szCs w:val="21"/>
          <w:highlight w:val="none"/>
          <w14:textFill>
            <w14:solidFill>
              <w14:schemeClr w14:val="tx1"/>
            </w14:solidFill>
          </w14:textFill>
        </w:rPr>
      </w:pPr>
      <w:r>
        <w:rPr>
          <w:rFonts w:hint="eastAsia" w:ascii="Times New Roman" w:hAnsi="Times New Roman" w:cs="Times New Roman"/>
          <w:b/>
          <w:color w:val="000000" w:themeColor="text1"/>
          <w:kern w:val="0"/>
          <w:sz w:val="28"/>
          <w:szCs w:val="21"/>
          <w:highlight w:val="none"/>
          <w14:textFill>
            <w14:solidFill>
              <w14:schemeClr w14:val="tx1"/>
            </w14:solidFill>
          </w14:textFill>
        </w:rPr>
        <w:t xml:space="preserve">                      评分业绩情况表</w:t>
      </w:r>
    </w:p>
    <w:p>
      <w:pPr>
        <w:spacing w:line="360" w:lineRule="auto"/>
        <w:ind w:left="-283" w:leftChars="-135" w:right="-57" w:rightChars="-27"/>
        <w:jc w:val="center"/>
        <w:rPr>
          <w:rFonts w:ascii="Times New Roman" w:hAnsi="Times New Roman" w:cs="Times New Roman"/>
          <w:b/>
          <w:color w:val="000000" w:themeColor="text1"/>
          <w:kern w:val="0"/>
          <w:szCs w:val="21"/>
          <w:highlight w:val="none"/>
          <w14:textFill>
            <w14:solidFill>
              <w14:schemeClr w14:val="tx1"/>
            </w14:solidFill>
          </w14:textFill>
        </w:rPr>
      </w:pPr>
      <w:r>
        <w:rPr>
          <w:rFonts w:hint="eastAsia" w:ascii="Times New Roman" w:hAnsi="Times New Roman" w:cs="Times New Roman"/>
          <w:b/>
          <w:color w:val="000000" w:themeColor="text1"/>
          <w:kern w:val="0"/>
          <w:szCs w:val="21"/>
          <w:highlight w:val="none"/>
          <w14:textFill>
            <w14:solidFill>
              <w14:schemeClr w14:val="tx1"/>
            </w14:solidFill>
          </w14:textFill>
        </w:rPr>
        <w:t>（请投标人根据招标文件要求如实认真填写附件相关表格资料）</w:t>
      </w:r>
    </w:p>
    <w:tbl>
      <w:tblPr>
        <w:tblStyle w:val="58"/>
        <w:tblW w:w="8375" w:type="dxa"/>
        <w:jc w:val="center"/>
        <w:tblInd w:w="-10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74"/>
        <w:gridCol w:w="1417"/>
        <w:gridCol w:w="1985"/>
        <w:gridCol w:w="170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序号</w:t>
            </w:r>
          </w:p>
        </w:tc>
        <w:tc>
          <w:tcPr>
            <w:tcW w:w="1074"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合同签订时间</w:t>
            </w:r>
          </w:p>
        </w:tc>
        <w:tc>
          <w:tcPr>
            <w:tcW w:w="1417"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项目名称</w:t>
            </w:r>
          </w:p>
        </w:tc>
        <w:tc>
          <w:tcPr>
            <w:tcW w:w="1985"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合同采购方名称、联系人及联系方式</w:t>
            </w:r>
          </w:p>
        </w:tc>
        <w:tc>
          <w:tcPr>
            <w:tcW w:w="1701"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案例内容包含的模块类型</w:t>
            </w:r>
          </w:p>
        </w:tc>
        <w:tc>
          <w:tcPr>
            <w:tcW w:w="1223" w:type="dxa"/>
            <w:shd w:val="clear" w:color="000000" w:fill="FFFFFF"/>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案例</w:t>
            </w:r>
            <w:r>
              <w:rPr>
                <w:rFonts w:ascii="Times New Roman" w:hAnsi="Times New Roman" w:cs="Times New Roman"/>
                <w:b/>
                <w:bCs/>
                <w:color w:val="000000" w:themeColor="text1"/>
                <w:kern w:val="0"/>
                <w:szCs w:val="21"/>
                <w:highlight w:val="none"/>
                <w14:textFill>
                  <w14:solidFill>
                    <w14:schemeClr w14:val="tx1"/>
                  </w14:solidFill>
                </w14:textFill>
              </w:rPr>
              <w:t>1</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案例</w:t>
            </w:r>
            <w:r>
              <w:rPr>
                <w:rFonts w:ascii="Times New Roman" w:hAnsi="Times New Roman" w:cs="Times New Roman"/>
                <w:b/>
                <w:bCs/>
                <w:color w:val="000000" w:themeColor="text1"/>
                <w:kern w:val="0"/>
                <w:szCs w:val="21"/>
                <w:highlight w:val="none"/>
                <w14:textFill>
                  <w14:solidFill>
                    <w14:schemeClr w14:val="tx1"/>
                  </w14:solidFill>
                </w14:textFill>
              </w:rPr>
              <w:t>2</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案例</w:t>
            </w:r>
            <w:r>
              <w:rPr>
                <w:rFonts w:ascii="Times New Roman" w:hAnsi="Times New Roman" w:cs="Times New Roman"/>
                <w:b/>
                <w:bCs/>
                <w:color w:val="000000" w:themeColor="text1"/>
                <w:kern w:val="0"/>
                <w:szCs w:val="21"/>
                <w:highlight w:val="none"/>
                <w14:textFill>
                  <w14:solidFill>
                    <w14:schemeClr w14:val="tx1"/>
                  </w14:solidFill>
                </w14:textFill>
              </w:rPr>
              <w:t>3</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案例</w:t>
            </w:r>
            <w:r>
              <w:rPr>
                <w:rFonts w:ascii="Times New Roman" w:hAnsi="Times New Roman" w:cs="Times New Roman"/>
                <w:b/>
                <w:bCs/>
                <w:color w:val="000000" w:themeColor="text1"/>
                <w:kern w:val="0"/>
                <w:szCs w:val="21"/>
                <w:highlight w:val="none"/>
                <w14:textFill>
                  <w14:solidFill>
                    <w14:schemeClr w14:val="tx1"/>
                  </w14:solidFill>
                </w14:textFill>
              </w:rPr>
              <w:t>4</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案例</w:t>
            </w:r>
            <w:r>
              <w:rPr>
                <w:rFonts w:ascii="Times New Roman" w:hAnsi="Times New Roman" w:cs="Times New Roman"/>
                <w:b/>
                <w:bCs/>
                <w:color w:val="000000" w:themeColor="text1"/>
                <w:kern w:val="0"/>
                <w:szCs w:val="21"/>
                <w:highlight w:val="none"/>
                <w14:textFill>
                  <w14:solidFill>
                    <w14:schemeClr w14:val="tx1"/>
                  </w14:solidFill>
                </w14:textFill>
              </w:rPr>
              <w:t>5</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 w:type="dxa"/>
            <w:vAlign w:val="center"/>
          </w:tcPr>
          <w:p>
            <w:pPr>
              <w:spacing w:line="400" w:lineRule="exact"/>
              <w:jc w:val="center"/>
              <w:rPr>
                <w:rFonts w:ascii="Times New Roman" w:hAnsi="Times New Roman" w:cs="Times New Roman"/>
                <w:b/>
                <w:bCs/>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w:t>
            </w:r>
          </w:p>
        </w:tc>
        <w:tc>
          <w:tcPr>
            <w:tcW w:w="1074"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417"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985"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701"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223" w:type="dxa"/>
            <w:vAlign w:val="center"/>
          </w:tcPr>
          <w:p>
            <w:pPr>
              <w:spacing w:line="400" w:lineRule="exact"/>
              <w:jc w:val="center"/>
              <w:rPr>
                <w:rFonts w:ascii="Times New Roman" w:hAnsi="Times New Roman" w:cs="Times New Roman"/>
                <w:color w:val="000000" w:themeColor="text1"/>
                <w:kern w:val="0"/>
                <w:szCs w:val="21"/>
                <w:highlight w:val="none"/>
                <w14:textFill>
                  <w14:solidFill>
                    <w14:schemeClr w14:val="tx1"/>
                  </w14:solidFill>
                </w14:textFill>
              </w:rPr>
            </w:pPr>
          </w:p>
        </w:tc>
      </w:tr>
    </w:tbl>
    <w:p>
      <w:pPr>
        <w:spacing w:line="360" w:lineRule="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说明：1、每个案例均须提供证明材料。案例证明材料的提供按招标文件相关要求执行。</w:t>
      </w:r>
    </w:p>
    <w:p>
      <w:pPr>
        <w:spacing w:line="360" w:lineRule="auto"/>
        <w:ind w:firstLine="630" w:firstLineChars="3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2、请投标人根据实际情况如实填写上述内容，可在此表基础上扩展并自行添加其他相关内容。</w:t>
      </w:r>
    </w:p>
    <w:p>
      <w:pPr>
        <w:spacing w:line="360" w:lineRule="auto"/>
        <w:rPr>
          <w:rFonts w:ascii="Times New Roman" w:hAnsi="Times New Roman" w:cs="Times New Roman"/>
          <w:color w:val="000000" w:themeColor="text1"/>
          <w:szCs w:val="21"/>
          <w:highlight w:val="none"/>
          <w14:textFill>
            <w14:solidFill>
              <w14:schemeClr w14:val="tx1"/>
            </w14:solidFill>
          </w14:textFill>
        </w:rPr>
      </w:pPr>
    </w:p>
    <w:p>
      <w:pPr>
        <w:spacing w:line="360" w:lineRule="auto"/>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我公司承诺以上内容</w:t>
      </w:r>
      <w:r>
        <w:rPr>
          <w:rFonts w:hint="eastAsia" w:ascii="Times New Roman" w:hAnsi="Times New Roman" w:cs="Times New Roman"/>
          <w:color w:val="000000" w:themeColor="text1"/>
          <w:kern w:val="0"/>
          <w:szCs w:val="21"/>
          <w:highlight w:val="none"/>
          <w:u w:val="single"/>
          <w14:textFill>
            <w14:solidFill>
              <w14:schemeClr w14:val="tx1"/>
            </w14:solidFill>
          </w14:textFill>
        </w:rPr>
        <w:t>信息都是真实、可靠的。在评标及后续工作中若发现表中信息的真实性、可靠性存在弄虚作假等行为，招标人有权取消我司中标资格并没收我司投标保证金（或履约保证金），我司愿赔偿相应损失并承担一切法律责任。</w:t>
      </w:r>
    </w:p>
    <w:p>
      <w:pPr>
        <w:spacing w:line="360" w:lineRule="auto"/>
        <w:jc w:val="left"/>
        <w:rPr>
          <w:rFonts w:ascii="Times New Roman" w:hAnsi="Times New Roman" w:cs="Times New Roman"/>
          <w:b/>
          <w:color w:val="000000" w:themeColor="text1"/>
          <w:szCs w:val="24"/>
          <w:highlight w:val="none"/>
          <w14:textFill>
            <w14:solidFill>
              <w14:schemeClr w14:val="tx1"/>
            </w14:solidFill>
          </w14:textFill>
        </w:rPr>
      </w:pPr>
      <w:r>
        <w:rPr>
          <w:rFonts w:hint="eastAsia" w:ascii="Times New Roman" w:hAnsi="Times New Roman" w:cs="Times New Roman"/>
          <w:b/>
          <w:color w:val="000000" w:themeColor="text1"/>
          <w:szCs w:val="24"/>
          <w:highlight w:val="none"/>
          <w14:textFill>
            <w14:solidFill>
              <w14:schemeClr w14:val="tx1"/>
            </w14:solidFill>
          </w14:textFill>
        </w:rPr>
        <w:t>投标人（公章）：</w:t>
      </w:r>
    </w:p>
    <w:p>
      <w:pPr>
        <w:spacing w:line="360" w:lineRule="auto"/>
        <w:rPr>
          <w:rFonts w:ascii="Times New Roman" w:hAnsi="Times New Roman" w:cs="Times New Roman"/>
          <w:b/>
          <w:color w:val="000000" w:themeColor="text1"/>
          <w:szCs w:val="24"/>
          <w:highlight w:val="none"/>
          <w14:textFill>
            <w14:solidFill>
              <w14:schemeClr w14:val="tx1"/>
            </w14:solidFill>
          </w14:textFill>
        </w:rPr>
      </w:pPr>
      <w:r>
        <w:rPr>
          <w:rFonts w:ascii="Times New Roman" w:hAnsi="Times New Roman" w:cs="Times New Roman"/>
          <w:b/>
          <w:color w:val="000000" w:themeColor="text1"/>
          <w:szCs w:val="24"/>
          <w:highlight w:val="none"/>
          <w14:textFill>
            <w14:solidFill>
              <w14:schemeClr w14:val="tx1"/>
            </w14:solidFill>
          </w14:textFill>
        </w:rPr>
        <w:t>法定代表人或其委托代理人：（盖章或签字）</w:t>
      </w:r>
    </w:p>
    <w:p>
      <w:pPr>
        <w:spacing w:line="360" w:lineRule="auto"/>
        <w:ind w:firstLine="1988" w:firstLineChars="943"/>
        <w:rPr>
          <w:color w:val="000000" w:themeColor="text1"/>
          <w:highlight w:val="none"/>
          <w14:textFill>
            <w14:solidFill>
              <w14:schemeClr w14:val="tx1"/>
            </w14:solidFill>
          </w14:textFill>
        </w:rPr>
      </w:pPr>
      <w:r>
        <w:rPr>
          <w:rFonts w:ascii="Times New Roman" w:hAnsi="Times New Roman" w:cs="Times New Roman"/>
          <w:b/>
          <w:color w:val="000000" w:themeColor="text1"/>
          <w:szCs w:val="24"/>
          <w:highlight w:val="none"/>
          <w14:textFill>
            <w14:solidFill>
              <w14:schemeClr w14:val="tx1"/>
            </w14:solidFill>
          </w14:textFill>
        </w:rPr>
        <w:t>年月日</w:t>
      </w:r>
    </w:p>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附件4：项目团队成员表</w:t>
      </w:r>
    </w:p>
    <w:tbl>
      <w:tblPr>
        <w:tblStyle w:val="5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66"/>
        <w:gridCol w:w="662"/>
        <w:gridCol w:w="662"/>
        <w:gridCol w:w="662"/>
        <w:gridCol w:w="670"/>
        <w:gridCol w:w="1098"/>
        <w:gridCol w:w="196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bookmarkStart w:id="175" w:name="_Toc455503678"/>
            <w:bookmarkEnd w:id="175"/>
            <w:bookmarkStart w:id="176" w:name="_Toc456261434"/>
            <w:bookmarkEnd w:id="176"/>
            <w:bookmarkStart w:id="177" w:name="_Toc455503656"/>
            <w:bookmarkEnd w:id="177"/>
            <w:bookmarkStart w:id="178" w:name="_Toc455503605"/>
            <w:bookmarkEnd w:id="178"/>
            <w:bookmarkStart w:id="179" w:name="_Toc456261425"/>
            <w:bookmarkEnd w:id="179"/>
            <w:bookmarkStart w:id="180" w:name="_Toc455503604"/>
            <w:bookmarkEnd w:id="180"/>
            <w:bookmarkStart w:id="181" w:name="_Toc456261426"/>
            <w:bookmarkEnd w:id="181"/>
            <w:bookmarkStart w:id="182" w:name="_Toc456261511"/>
            <w:bookmarkEnd w:id="182"/>
            <w:bookmarkStart w:id="183" w:name="_Toc456261480"/>
            <w:bookmarkEnd w:id="183"/>
            <w:bookmarkStart w:id="184" w:name="_Toc456261509"/>
            <w:bookmarkEnd w:id="184"/>
            <w:bookmarkStart w:id="185" w:name="_Toc455503676"/>
            <w:bookmarkEnd w:id="185"/>
            <w:bookmarkStart w:id="186" w:name="_Toc456261491"/>
            <w:bookmarkEnd w:id="186"/>
            <w:bookmarkStart w:id="187" w:name="_Toc455503672"/>
            <w:bookmarkEnd w:id="187"/>
            <w:bookmarkStart w:id="188" w:name="_Toc456261487"/>
            <w:bookmarkEnd w:id="188"/>
            <w:bookmarkStart w:id="189" w:name="_Toc456261513"/>
            <w:bookmarkEnd w:id="189"/>
            <w:bookmarkStart w:id="190" w:name="_Toc455503653"/>
            <w:bookmarkEnd w:id="190"/>
            <w:bookmarkStart w:id="191" w:name="_Toc455503677"/>
            <w:bookmarkEnd w:id="191"/>
            <w:bookmarkStart w:id="192" w:name="_Toc456261503"/>
            <w:bookmarkEnd w:id="192"/>
            <w:bookmarkStart w:id="193" w:name="_Toc456261485"/>
            <w:bookmarkEnd w:id="193"/>
            <w:bookmarkStart w:id="194" w:name="_Toc456261502"/>
            <w:bookmarkEnd w:id="194"/>
            <w:bookmarkStart w:id="195" w:name="_Toc455503673"/>
            <w:bookmarkEnd w:id="195"/>
            <w:bookmarkStart w:id="196" w:name="_Toc456261510"/>
            <w:bookmarkEnd w:id="196"/>
            <w:bookmarkStart w:id="197" w:name="_Toc456261436"/>
            <w:bookmarkEnd w:id="197"/>
            <w:bookmarkStart w:id="198" w:name="_Toc455503675"/>
            <w:bookmarkEnd w:id="198"/>
            <w:bookmarkStart w:id="199" w:name="_Toc456261479"/>
            <w:bookmarkEnd w:id="199"/>
            <w:bookmarkStart w:id="200" w:name="_Toc456261515"/>
            <w:bookmarkEnd w:id="200"/>
            <w:bookmarkStart w:id="201" w:name="_Toc456261514"/>
            <w:bookmarkEnd w:id="201"/>
            <w:bookmarkStart w:id="202" w:name="_Toc455503674"/>
            <w:bookmarkEnd w:id="202"/>
            <w:bookmarkStart w:id="203" w:name="_Toc455503651"/>
            <w:bookmarkEnd w:id="203"/>
            <w:bookmarkStart w:id="204" w:name="_Toc455503614"/>
            <w:bookmarkEnd w:id="204"/>
            <w:bookmarkStart w:id="205" w:name="_Toc455503616"/>
            <w:bookmarkEnd w:id="205"/>
            <w:bookmarkStart w:id="206" w:name="_Toc456261481"/>
            <w:bookmarkEnd w:id="206"/>
            <w:bookmarkStart w:id="207" w:name="_Toc456261501"/>
            <w:bookmarkEnd w:id="207"/>
            <w:bookmarkStart w:id="208" w:name="_Toc456261512"/>
            <w:bookmarkEnd w:id="208"/>
            <w:bookmarkStart w:id="209" w:name="_Toc455503652"/>
            <w:bookmarkEnd w:id="209"/>
            <w:bookmarkStart w:id="210" w:name="_Toc456261500"/>
            <w:bookmarkEnd w:id="210"/>
            <w:bookmarkStart w:id="211" w:name="_Toc455503695"/>
            <w:bookmarkEnd w:id="211"/>
            <w:bookmarkStart w:id="212" w:name="_Toc456261523"/>
            <w:bookmarkEnd w:id="212"/>
            <w:bookmarkStart w:id="213" w:name="_Toc455503707"/>
            <w:bookmarkEnd w:id="213"/>
            <w:bookmarkStart w:id="214" w:name="_Toc455503697"/>
            <w:bookmarkEnd w:id="214"/>
            <w:bookmarkStart w:id="215" w:name="_Toc455503686"/>
            <w:bookmarkEnd w:id="215"/>
            <w:bookmarkStart w:id="216" w:name="_Toc456261535"/>
            <w:bookmarkEnd w:id="216"/>
            <w:bookmarkStart w:id="217" w:name="_Toc455503698"/>
            <w:bookmarkEnd w:id="217"/>
            <w:bookmarkStart w:id="218" w:name="_Toc455503684"/>
            <w:bookmarkEnd w:id="218"/>
            <w:bookmarkStart w:id="219" w:name="_Toc456261549"/>
            <w:bookmarkEnd w:id="219"/>
            <w:bookmarkStart w:id="220" w:name="_Toc456261520"/>
            <w:bookmarkEnd w:id="220"/>
            <w:bookmarkStart w:id="221" w:name="_Toc455503696"/>
            <w:bookmarkEnd w:id="221"/>
            <w:bookmarkStart w:id="222" w:name="_Toc456261517"/>
            <w:bookmarkEnd w:id="222"/>
            <w:bookmarkStart w:id="223" w:name="_Toc455503685"/>
            <w:bookmarkEnd w:id="223"/>
            <w:bookmarkStart w:id="224" w:name="_Toc455503679"/>
            <w:bookmarkEnd w:id="224"/>
            <w:bookmarkStart w:id="225" w:name="_Toc455503693"/>
            <w:bookmarkEnd w:id="225"/>
            <w:bookmarkStart w:id="226" w:name="_Toc455503681"/>
            <w:bookmarkEnd w:id="226"/>
            <w:bookmarkStart w:id="227" w:name="_Toc456261530"/>
            <w:bookmarkEnd w:id="227"/>
            <w:bookmarkStart w:id="228" w:name="_Toc456261521"/>
            <w:bookmarkEnd w:id="228"/>
            <w:bookmarkStart w:id="229" w:name="_Toc456261534"/>
            <w:bookmarkEnd w:id="229"/>
            <w:bookmarkStart w:id="230" w:name="_Toc456261545"/>
            <w:bookmarkEnd w:id="230"/>
            <w:bookmarkStart w:id="231" w:name="_Toc456261518"/>
            <w:bookmarkEnd w:id="231"/>
            <w:bookmarkStart w:id="232" w:name="_Toc455503694"/>
            <w:bookmarkEnd w:id="232"/>
            <w:bookmarkStart w:id="233" w:name="_Toc456261532"/>
            <w:bookmarkEnd w:id="233"/>
            <w:bookmarkStart w:id="234" w:name="_Toc455503711"/>
            <w:bookmarkEnd w:id="234"/>
            <w:bookmarkStart w:id="235" w:name="_Toc456261536"/>
            <w:bookmarkEnd w:id="235"/>
            <w:bookmarkStart w:id="236" w:name="_Toc455503692"/>
            <w:bookmarkEnd w:id="236"/>
            <w:bookmarkStart w:id="237" w:name="_Toc456261522"/>
            <w:bookmarkEnd w:id="237"/>
            <w:bookmarkStart w:id="238" w:name="_Toc456261516"/>
            <w:bookmarkEnd w:id="238"/>
            <w:bookmarkStart w:id="239" w:name="_Toc455503680"/>
            <w:bookmarkEnd w:id="239"/>
            <w:bookmarkStart w:id="240" w:name="_Toc456261531"/>
            <w:bookmarkEnd w:id="240"/>
            <w:bookmarkStart w:id="241" w:name="_Toc456261533"/>
            <w:bookmarkEnd w:id="241"/>
            <w:bookmarkStart w:id="242" w:name="_Toc455503683"/>
            <w:bookmarkEnd w:id="242"/>
            <w:bookmarkStart w:id="243" w:name="_Toc456261553"/>
            <w:bookmarkEnd w:id="243"/>
            <w:bookmarkStart w:id="244" w:name="_Toc456261554"/>
            <w:bookmarkEnd w:id="244"/>
            <w:bookmarkStart w:id="245" w:name="_Toc456261556"/>
            <w:bookmarkEnd w:id="245"/>
            <w:bookmarkStart w:id="246" w:name="_Toc456261555"/>
            <w:bookmarkEnd w:id="246"/>
            <w:bookmarkStart w:id="247" w:name="_Toc455503718"/>
            <w:bookmarkEnd w:id="247"/>
            <w:bookmarkStart w:id="248" w:name="_Toc455503716"/>
            <w:bookmarkEnd w:id="248"/>
            <w:bookmarkStart w:id="249" w:name="_Toc455503715"/>
            <w:bookmarkEnd w:id="249"/>
            <w:bookmarkStart w:id="250" w:name="_Toc455503717"/>
            <w:bookmarkEnd w:id="250"/>
            <w:r>
              <w:rPr>
                <w:rFonts w:hint="eastAsia" w:ascii="Times New Roman" w:hAnsi="Times New Roman"/>
                <w:color w:val="000000" w:themeColor="text1"/>
                <w:kern w:val="0"/>
                <w:sz w:val="20"/>
                <w:highlight w:val="none"/>
                <w14:textFill>
                  <w14:solidFill>
                    <w14:schemeClr w14:val="tx1"/>
                  </w14:solidFill>
                </w14:textFill>
              </w:rPr>
              <w:t>序号</w:t>
            </w:r>
          </w:p>
        </w:tc>
        <w:tc>
          <w:tcPr>
            <w:tcW w:w="666"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hint="eastAsia" w:ascii="Times New Roman" w:hAnsi="Times New Roman"/>
                <w:color w:val="000000" w:themeColor="text1"/>
                <w:kern w:val="0"/>
                <w:sz w:val="20"/>
                <w:highlight w:val="none"/>
                <w14:textFill>
                  <w14:solidFill>
                    <w14:schemeClr w14:val="tx1"/>
                  </w14:solidFill>
                </w14:textFill>
              </w:rPr>
              <w:t>姓名</w:t>
            </w:r>
          </w:p>
        </w:tc>
        <w:tc>
          <w:tcPr>
            <w:tcW w:w="662"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hint="eastAsia" w:ascii="Times New Roman" w:hAnsi="Times New Roman"/>
                <w:color w:val="000000" w:themeColor="text1"/>
                <w:kern w:val="0"/>
                <w:sz w:val="20"/>
                <w:highlight w:val="none"/>
                <w14:textFill>
                  <w14:solidFill>
                    <w14:schemeClr w14:val="tx1"/>
                  </w14:solidFill>
                </w14:textFill>
              </w:rPr>
              <w:t>性别</w:t>
            </w:r>
          </w:p>
        </w:tc>
        <w:tc>
          <w:tcPr>
            <w:tcW w:w="662"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hint="eastAsia" w:ascii="Times New Roman" w:hAnsi="Times New Roman"/>
                <w:color w:val="000000" w:themeColor="text1"/>
                <w:kern w:val="0"/>
                <w:sz w:val="20"/>
                <w:highlight w:val="none"/>
                <w14:textFill>
                  <w14:solidFill>
                    <w14:schemeClr w14:val="tx1"/>
                  </w14:solidFill>
                </w14:textFill>
              </w:rPr>
              <w:t>年龄</w:t>
            </w:r>
          </w:p>
        </w:tc>
        <w:tc>
          <w:tcPr>
            <w:tcW w:w="662"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hint="eastAsia" w:ascii="Times New Roman" w:hAnsi="Times New Roman"/>
                <w:color w:val="000000" w:themeColor="text1"/>
                <w:kern w:val="0"/>
                <w:sz w:val="20"/>
                <w:highlight w:val="none"/>
                <w14:textFill>
                  <w14:solidFill>
                    <w14:schemeClr w14:val="tx1"/>
                  </w14:solidFill>
                </w14:textFill>
              </w:rPr>
              <w:t>出生年月</w:t>
            </w:r>
          </w:p>
        </w:tc>
        <w:tc>
          <w:tcPr>
            <w:tcW w:w="670"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hint="eastAsia" w:ascii="Times New Roman" w:hAnsi="Times New Roman"/>
                <w:color w:val="000000" w:themeColor="text1"/>
                <w:kern w:val="0"/>
                <w:sz w:val="20"/>
                <w:highlight w:val="none"/>
                <w14:textFill>
                  <w14:solidFill>
                    <w14:schemeClr w14:val="tx1"/>
                  </w14:solidFill>
                </w14:textFill>
              </w:rPr>
              <w:t>团队</w:t>
            </w:r>
          </w:p>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hint="eastAsia" w:ascii="Times New Roman" w:hAnsi="Times New Roman"/>
                <w:color w:val="000000" w:themeColor="text1"/>
                <w:kern w:val="0"/>
                <w:sz w:val="20"/>
                <w:highlight w:val="none"/>
                <w14:textFill>
                  <w14:solidFill>
                    <w14:schemeClr w14:val="tx1"/>
                  </w14:solidFill>
                </w14:textFill>
              </w:rPr>
              <w:t>角色</w:t>
            </w:r>
          </w:p>
        </w:tc>
        <w:tc>
          <w:tcPr>
            <w:tcW w:w="1098"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hint="eastAsia" w:ascii="Times New Roman" w:hAnsi="Times New Roman"/>
                <w:color w:val="000000" w:themeColor="text1"/>
                <w:kern w:val="0"/>
                <w:sz w:val="20"/>
                <w:highlight w:val="none"/>
                <w14:textFill>
                  <w14:solidFill>
                    <w14:schemeClr w14:val="tx1"/>
                  </w14:solidFill>
                </w14:textFill>
              </w:rPr>
              <w:t>行业</w:t>
            </w:r>
          </w:p>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hint="eastAsia" w:ascii="Times New Roman" w:hAnsi="Times New Roman"/>
                <w:color w:val="000000" w:themeColor="text1"/>
                <w:kern w:val="0"/>
                <w:sz w:val="20"/>
                <w:highlight w:val="none"/>
                <w14:textFill>
                  <w14:solidFill>
                    <w14:schemeClr w14:val="tx1"/>
                  </w14:solidFill>
                </w14:textFill>
              </w:rPr>
              <w:t>工作年限（年）</w:t>
            </w:r>
          </w:p>
        </w:tc>
        <w:tc>
          <w:tcPr>
            <w:tcW w:w="1962"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hint="eastAsia" w:ascii="Times New Roman" w:hAnsi="Times New Roman"/>
                <w:color w:val="000000" w:themeColor="text1"/>
                <w:kern w:val="0"/>
                <w:sz w:val="20"/>
                <w:highlight w:val="none"/>
                <w14:textFill>
                  <w14:solidFill>
                    <w14:schemeClr w14:val="tx1"/>
                  </w14:solidFill>
                </w14:textFill>
              </w:rPr>
              <w:t>职称/专业资格证书</w:t>
            </w:r>
          </w:p>
        </w:tc>
        <w:tc>
          <w:tcPr>
            <w:tcW w:w="1468"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hint="eastAsia" w:ascii="Times New Roman" w:hAnsi="Times New Roman"/>
                <w:color w:val="000000" w:themeColor="text1"/>
                <w:kern w:val="0"/>
                <w:sz w:val="2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ascii="Times New Roman" w:hAnsi="Times New Roman"/>
                <w:color w:val="000000" w:themeColor="text1"/>
                <w:kern w:val="0"/>
                <w:sz w:val="20"/>
                <w:highlight w:val="none"/>
                <w14:textFill>
                  <w14:solidFill>
                    <w14:schemeClr w14:val="tx1"/>
                  </w14:solidFill>
                </w14:textFill>
              </w:rPr>
              <w:t>1</w:t>
            </w:r>
          </w:p>
        </w:tc>
        <w:tc>
          <w:tcPr>
            <w:tcW w:w="666"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70"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098"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962"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468"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ascii="Times New Roman" w:hAnsi="Times New Roman"/>
                <w:color w:val="000000" w:themeColor="text1"/>
                <w:kern w:val="0"/>
                <w:sz w:val="20"/>
                <w:highlight w:val="none"/>
                <w14:textFill>
                  <w14:solidFill>
                    <w14:schemeClr w14:val="tx1"/>
                  </w14:solidFill>
                </w14:textFill>
              </w:rPr>
              <w:t>2</w:t>
            </w:r>
          </w:p>
        </w:tc>
        <w:tc>
          <w:tcPr>
            <w:tcW w:w="666"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70"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098"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9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468"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ascii="Times New Roman" w:hAnsi="Times New Roman"/>
                <w:color w:val="000000" w:themeColor="text1"/>
                <w:kern w:val="0"/>
                <w:sz w:val="20"/>
                <w:highlight w:val="none"/>
                <w14:textFill>
                  <w14:solidFill>
                    <w14:schemeClr w14:val="tx1"/>
                  </w14:solidFill>
                </w14:textFill>
              </w:rPr>
              <w:t>3</w:t>
            </w:r>
          </w:p>
        </w:tc>
        <w:tc>
          <w:tcPr>
            <w:tcW w:w="666"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70"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098"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9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468"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ascii="Times New Roman" w:hAnsi="Times New Roman"/>
                <w:color w:val="000000" w:themeColor="text1"/>
                <w:kern w:val="0"/>
                <w:sz w:val="20"/>
                <w:highlight w:val="none"/>
                <w14:textFill>
                  <w14:solidFill>
                    <w14:schemeClr w14:val="tx1"/>
                  </w14:solidFill>
                </w14:textFill>
              </w:rPr>
              <w:t>4</w:t>
            </w:r>
          </w:p>
        </w:tc>
        <w:tc>
          <w:tcPr>
            <w:tcW w:w="666"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70"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098"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9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468"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ascii="Times New Roman" w:hAnsi="Times New Roman"/>
                <w:color w:val="000000" w:themeColor="text1"/>
                <w:kern w:val="0"/>
                <w:sz w:val="20"/>
                <w:highlight w:val="none"/>
                <w14:textFill>
                  <w14:solidFill>
                    <w14:schemeClr w14:val="tx1"/>
                  </w14:solidFill>
                </w14:textFill>
              </w:rPr>
              <w:t>5</w:t>
            </w:r>
          </w:p>
        </w:tc>
        <w:tc>
          <w:tcPr>
            <w:tcW w:w="666"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70"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098"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9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468"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center"/>
          </w:tcPr>
          <w:p>
            <w:pPr>
              <w:pStyle w:val="172"/>
              <w:adjustRightInd/>
              <w:snapToGrid/>
              <w:spacing w:before="0" w:line="400" w:lineRule="exact"/>
              <w:ind w:firstLine="0" w:firstLineChars="0"/>
              <w:jc w:val="center"/>
              <w:rPr>
                <w:rFonts w:ascii="Times New Roman" w:hAnsi="Times New Roman"/>
                <w:color w:val="000000" w:themeColor="text1"/>
                <w:kern w:val="0"/>
                <w:sz w:val="20"/>
                <w:highlight w:val="none"/>
                <w14:textFill>
                  <w14:solidFill>
                    <w14:schemeClr w14:val="tx1"/>
                  </w14:solidFill>
                </w14:textFill>
              </w:rPr>
            </w:pPr>
            <w:r>
              <w:rPr>
                <w:rFonts w:ascii="Times New Roman" w:hAnsi="Times New Roman"/>
                <w:color w:val="000000" w:themeColor="text1"/>
                <w:kern w:val="0"/>
                <w:sz w:val="20"/>
                <w:highlight w:val="none"/>
                <w14:textFill>
                  <w14:solidFill>
                    <w14:schemeClr w14:val="tx1"/>
                  </w14:solidFill>
                </w14:textFill>
              </w:rPr>
              <w:t>……</w:t>
            </w:r>
          </w:p>
        </w:tc>
        <w:tc>
          <w:tcPr>
            <w:tcW w:w="666"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670"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098"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962" w:type="dxa"/>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c>
          <w:tcPr>
            <w:tcW w:w="1468" w:type="dxa"/>
            <w:vAlign w:val="center"/>
          </w:tcPr>
          <w:p>
            <w:pPr>
              <w:pStyle w:val="172"/>
              <w:adjustRightInd/>
              <w:snapToGrid/>
              <w:spacing w:before="0" w:line="400" w:lineRule="exact"/>
              <w:ind w:firstLine="0" w:firstLineChars="0"/>
              <w:jc w:val="center"/>
              <w:rPr>
                <w:rFonts w:ascii="Times New Roman" w:hAnsi="Times New Roman"/>
                <w:b/>
                <w:bCs/>
                <w:color w:val="000000" w:themeColor="text1"/>
                <w:kern w:val="0"/>
                <w:sz w:val="20"/>
                <w:highlight w:val="none"/>
                <w14:textFill>
                  <w14:solidFill>
                    <w14:schemeClr w14:val="tx1"/>
                  </w14:solidFill>
                </w14:textFill>
              </w:rPr>
            </w:pPr>
          </w:p>
        </w:tc>
      </w:tr>
    </w:tbl>
    <w:p>
      <w:pPr>
        <w:spacing w:line="360" w:lineRule="auto"/>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注：请投标人根据实际情况如实填写上述内容，可在此表基础上扩展并自行添加其他相关内容。</w:t>
      </w:r>
    </w:p>
    <w:p>
      <w:pPr>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我公司承诺以上内容信息都是真实、可靠的。在评标及后续工作中若发现表中信息的真实性、可靠性存在弄虚作假等行为，招标人有权取消我司中标资格并没收我司投标保证金（或履约保证金），我司愿赔偿相应损失并承担一切责任。</w:t>
      </w:r>
    </w:p>
    <w:p>
      <w:pPr>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p>
    <w:p>
      <w:pPr>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投标人（公章）：</w:t>
      </w:r>
    </w:p>
    <w:p>
      <w:pPr>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法定代表人或其委托代理人：（盖章或签字）</w:t>
      </w:r>
    </w:p>
    <w:p>
      <w:pPr>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年月日</w:t>
      </w:r>
    </w:p>
    <w:p>
      <w:pPr>
        <w:widowControl/>
        <w:jc w:val="left"/>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br w:type="page"/>
      </w:r>
    </w:p>
    <w:p>
      <w:pPr>
        <w:spacing w:line="360" w:lineRule="auto"/>
        <w:ind w:firstLine="480" w:firstLineChars="200"/>
        <w:rPr>
          <w:rFonts w:ascii="Times New Roman" w:hAnsi="Times New Roman" w:cs="Times New Roman"/>
          <w:color w:val="000000" w:themeColor="text1"/>
          <w:kern w:val="0"/>
          <w:sz w:val="24"/>
          <w:szCs w:val="24"/>
          <w:highlight w:val="none"/>
          <w14:textFill>
            <w14:solidFill>
              <w14:schemeClr w14:val="tx1"/>
            </w14:solidFill>
          </w14:textFill>
        </w:rPr>
      </w:pP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附件5：项目团队成员个人简历表</w:t>
      </w:r>
    </w:p>
    <w:tbl>
      <w:tblPr>
        <w:tblStyle w:val="58"/>
        <w:tblW w:w="8523" w:type="dxa"/>
        <w:tblInd w:w="112" w:type="dxa"/>
        <w:tblLayout w:type="fixed"/>
        <w:tblCellMar>
          <w:top w:w="0" w:type="dxa"/>
          <w:left w:w="0" w:type="dxa"/>
          <w:bottom w:w="0" w:type="dxa"/>
          <w:right w:w="0" w:type="dxa"/>
        </w:tblCellMar>
      </w:tblPr>
      <w:tblGrid>
        <w:gridCol w:w="1153"/>
        <w:gridCol w:w="33"/>
        <w:gridCol w:w="1080"/>
        <w:gridCol w:w="926"/>
        <w:gridCol w:w="661"/>
        <w:gridCol w:w="405"/>
        <w:gridCol w:w="880"/>
        <w:gridCol w:w="1088"/>
        <w:gridCol w:w="162"/>
        <w:gridCol w:w="2135"/>
      </w:tblGrid>
      <w:tr>
        <w:tblPrEx>
          <w:tblLayout w:type="fixed"/>
          <w:tblCellMar>
            <w:top w:w="0" w:type="dxa"/>
            <w:left w:w="0" w:type="dxa"/>
            <w:bottom w:w="0" w:type="dxa"/>
            <w:right w:w="0" w:type="dxa"/>
          </w:tblCellMar>
        </w:tblPrEx>
        <w:trPr>
          <w:trHeight w:val="450" w:hRule="exact"/>
        </w:trPr>
        <w:tc>
          <w:tcPr>
            <w:tcW w:w="1186" w:type="dxa"/>
            <w:gridSpan w:val="2"/>
            <w:vMerge w:val="restart"/>
            <w:tcBorders>
              <w:top w:val="single" w:color="000000" w:sz="4" w:space="0"/>
              <w:left w:val="single" w:color="000000" w:sz="4" w:space="0"/>
              <w:right w:val="single" w:color="000000" w:sz="4" w:space="0"/>
            </w:tcBorders>
            <w:vAlign w:val="center"/>
          </w:tcPr>
          <w:p>
            <w:pPr>
              <w:widowControl/>
              <w:tabs>
                <w:tab w:val="left" w:pos="520"/>
              </w:tabs>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姓</w:t>
            </w:r>
            <w:r>
              <w:rPr>
                <w:rFonts w:ascii="宋体" w:hAnsi="宋体" w:eastAsia="宋体" w:cs="Times New Roman"/>
                <w:color w:val="000000" w:themeColor="text1"/>
                <w:kern w:val="0"/>
                <w:szCs w:val="21"/>
                <w:highlight w:val="none"/>
                <w14:textFill>
                  <w14:solidFill>
                    <w14:schemeClr w14:val="tx1"/>
                  </w14:solidFill>
                </w14:textFill>
              </w:rPr>
              <w:tab/>
            </w:r>
            <w:r>
              <w:rPr>
                <w:rFonts w:hint="eastAsia" w:ascii="宋体" w:hAnsi="宋体" w:eastAsia="宋体" w:cs="MingLiU"/>
                <w:color w:val="000000" w:themeColor="text1"/>
                <w:kern w:val="0"/>
                <w:szCs w:val="21"/>
                <w:highlight w:val="none"/>
                <w14:textFill>
                  <w14:solidFill>
                    <w14:schemeClr w14:val="tx1"/>
                  </w14:solidFill>
                </w14:textFill>
              </w:rPr>
              <w:t>名</w:t>
            </w:r>
          </w:p>
        </w:tc>
        <w:tc>
          <w:tcPr>
            <w:tcW w:w="1080" w:type="dxa"/>
            <w:vMerge w:val="restart"/>
            <w:tcBorders>
              <w:top w:val="single" w:color="000000" w:sz="4" w:space="0"/>
              <w:left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年龄</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学历（学位）</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exact"/>
        </w:trPr>
        <w:tc>
          <w:tcPr>
            <w:tcW w:w="1186" w:type="dxa"/>
            <w:gridSpan w:val="2"/>
            <w:vMerge w:val="continue"/>
            <w:tcBorders>
              <w:left w:val="single" w:color="000000" w:sz="4" w:space="0"/>
              <w:bottom w:val="single" w:color="000000" w:sz="4" w:space="0"/>
              <w:right w:val="single" w:color="000000" w:sz="4" w:space="0"/>
            </w:tcBorders>
            <w:vAlign w:val="center"/>
          </w:tcPr>
          <w:p>
            <w:pPr>
              <w:widowControl/>
              <w:tabs>
                <w:tab w:val="left" w:pos="520"/>
              </w:tabs>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80" w:type="dxa"/>
            <w:vMerge w:val="continue"/>
            <w:tcBorders>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职务</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拟在本项目任职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exact"/>
        </w:trPr>
        <w:tc>
          <w:tcPr>
            <w:tcW w:w="1186" w:type="dxa"/>
            <w:gridSpan w:val="2"/>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widowControl/>
              <w:tabs>
                <w:tab w:val="left" w:pos="2820"/>
                <w:tab w:val="left" w:pos="4080"/>
              </w:tabs>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年</w:t>
            </w:r>
            <w:r>
              <w:rPr>
                <w:rFonts w:hint="eastAsia" w:ascii="宋体" w:hAnsi="宋体" w:eastAsia="宋体" w:cs="MingLiU"/>
                <w:color w:val="000000" w:themeColor="text1"/>
                <w:spacing w:val="-1"/>
                <w:kern w:val="0"/>
                <w:szCs w:val="21"/>
                <w:highlight w:val="none"/>
                <w14:textFill>
                  <w14:solidFill>
                    <w14:schemeClr w14:val="tx1"/>
                  </w14:solidFill>
                </w14:textFill>
              </w:rPr>
              <w:t>毕</w:t>
            </w:r>
            <w:r>
              <w:rPr>
                <w:rFonts w:hint="eastAsia" w:ascii="宋体" w:hAnsi="宋体" w:eastAsia="宋体" w:cs="MingLiU"/>
                <w:color w:val="000000" w:themeColor="text1"/>
                <w:kern w:val="0"/>
                <w:szCs w:val="21"/>
                <w:highlight w:val="none"/>
                <w14:textFill>
                  <w14:solidFill>
                    <w14:schemeClr w14:val="tx1"/>
                  </w14:solidFill>
                </w14:textFill>
              </w:rPr>
              <w:t>业于</w:t>
            </w:r>
            <w:r>
              <w:rPr>
                <w:rFonts w:ascii="宋体" w:hAnsi="宋体" w:eastAsia="宋体" w:cs="Times New Roman"/>
                <w:color w:val="000000" w:themeColor="text1"/>
                <w:kern w:val="0"/>
                <w:szCs w:val="21"/>
                <w:highlight w:val="none"/>
                <w14:textFill>
                  <w14:solidFill>
                    <w14:schemeClr w14:val="tx1"/>
                  </w14:solidFill>
                </w14:textFill>
              </w:rPr>
              <w:tab/>
            </w:r>
            <w:r>
              <w:rPr>
                <w:rFonts w:hint="eastAsia" w:ascii="宋体" w:hAnsi="宋体" w:eastAsia="宋体" w:cs="MingLiU"/>
                <w:color w:val="000000" w:themeColor="text1"/>
                <w:kern w:val="0"/>
                <w:szCs w:val="21"/>
                <w:highlight w:val="none"/>
                <w14:textFill>
                  <w14:solidFill>
                    <w14:schemeClr w14:val="tx1"/>
                  </w14:solidFill>
                </w14:textFill>
              </w:rPr>
              <w:t>学校</w:t>
            </w:r>
            <w:r>
              <w:rPr>
                <w:rFonts w:ascii="宋体" w:hAnsi="宋体" w:eastAsia="宋体" w:cs="Times New Roman"/>
                <w:color w:val="000000" w:themeColor="text1"/>
                <w:kern w:val="0"/>
                <w:szCs w:val="21"/>
                <w:highlight w:val="none"/>
                <w14:textFill>
                  <w14:solidFill>
                    <w14:schemeClr w14:val="tx1"/>
                  </w14:solidFill>
                </w14:textFill>
              </w:rPr>
              <w:tab/>
            </w:r>
            <w:r>
              <w:rPr>
                <w:rFonts w:hint="eastAsia" w:ascii="宋体" w:hAnsi="宋体" w:eastAsia="宋体" w:cs="MingLiU"/>
                <w:color w:val="000000" w:themeColor="text1"/>
                <w:kern w:val="0"/>
                <w:szCs w:val="21"/>
                <w:highlight w:val="none"/>
                <w14:textFill>
                  <w14:solidFill>
                    <w14:schemeClr w14:val="tx1"/>
                  </w14:solidFill>
                </w14:textFill>
              </w:rPr>
              <w:t>专业</w:t>
            </w:r>
          </w:p>
        </w:tc>
      </w:tr>
      <w:tr>
        <w:tblPrEx>
          <w:tblLayout w:type="fixed"/>
          <w:tblCellMar>
            <w:top w:w="0" w:type="dxa"/>
            <w:left w:w="0" w:type="dxa"/>
            <w:bottom w:w="0" w:type="dxa"/>
            <w:right w:w="0" w:type="dxa"/>
          </w:tblCellMar>
        </w:tblPrEx>
        <w:trPr>
          <w:trHeight w:val="1984" w:hRule="exact"/>
        </w:trPr>
        <w:tc>
          <w:tcPr>
            <w:tcW w:w="8523" w:type="dxa"/>
            <w:gridSpan w:val="10"/>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本项目中的主要工作职责：</w:t>
            </w: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14:textFill>
                  <w14:solidFill>
                    <w14:schemeClr w14:val="tx1"/>
                  </w14:solidFill>
                </w14:textFill>
              </w:rPr>
            </w:pP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14:textFill>
                  <w14:solidFill>
                    <w14:schemeClr w14:val="tx1"/>
                  </w14:solidFill>
                </w14:textFill>
              </w:rPr>
            </w:pP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14:textFill>
                  <w14:solidFill>
                    <w14:schemeClr w14:val="tx1"/>
                  </w14:solidFill>
                </w14:textFill>
              </w:rPr>
            </w:pP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14:textFill>
                  <w14:solidFill>
                    <w14:schemeClr w14:val="tx1"/>
                  </w14:solidFill>
                </w14:textFill>
              </w:rPr>
            </w:pP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14:textFill>
                  <w14:solidFill>
                    <w14:schemeClr w14:val="tx1"/>
                  </w14:solidFill>
                </w14:textFill>
              </w:rPr>
            </w:pP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563" w:hRule="exact"/>
        </w:trPr>
        <w:tc>
          <w:tcPr>
            <w:tcW w:w="8523" w:type="dxa"/>
            <w:gridSpan w:val="10"/>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MingLiU"/>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主要工作经历</w:t>
            </w:r>
          </w:p>
        </w:tc>
      </w:tr>
      <w:tr>
        <w:tblPrEx>
          <w:tblLayout w:type="fixed"/>
          <w:tblCellMar>
            <w:top w:w="0" w:type="dxa"/>
            <w:left w:w="0" w:type="dxa"/>
            <w:bottom w:w="0" w:type="dxa"/>
            <w:right w:w="0" w:type="dxa"/>
          </w:tblCellMar>
        </w:tblPrEx>
        <w:trPr>
          <w:trHeight w:val="1072" w:hRule="exact"/>
        </w:trPr>
        <w:tc>
          <w:tcPr>
            <w:tcW w:w="1153" w:type="dxa"/>
            <w:tcBorders>
              <w:top w:val="single" w:color="000000" w:sz="4" w:space="0"/>
              <w:left w:val="single" w:color="000000" w:sz="4" w:space="0"/>
              <w:bottom w:val="single" w:color="000000" w:sz="4" w:space="0"/>
              <w:right w:val="single" w:color="000000" w:sz="4" w:space="0"/>
            </w:tcBorders>
            <w:vAlign w:val="center"/>
          </w:tcPr>
          <w:p>
            <w:pPr>
              <w:widowControl/>
              <w:tabs>
                <w:tab w:val="left" w:pos="520"/>
              </w:tabs>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时</w:t>
            </w:r>
            <w:r>
              <w:rPr>
                <w:rFonts w:ascii="宋体" w:hAnsi="宋体" w:eastAsia="宋体" w:cs="Times New Roman"/>
                <w:color w:val="000000" w:themeColor="text1"/>
                <w:kern w:val="0"/>
                <w:szCs w:val="21"/>
                <w:highlight w:val="none"/>
                <w14:textFill>
                  <w14:solidFill>
                    <w14:schemeClr w14:val="tx1"/>
                  </w14:solidFill>
                </w14:textFill>
              </w:rPr>
              <w:tab/>
            </w:r>
            <w:r>
              <w:rPr>
                <w:rFonts w:hint="eastAsia" w:ascii="宋体" w:hAnsi="宋体" w:eastAsia="宋体" w:cs="MingLiU"/>
                <w:color w:val="000000" w:themeColor="text1"/>
                <w:kern w:val="0"/>
                <w:szCs w:val="21"/>
                <w:highlight w:val="none"/>
                <w14:textFill>
                  <w14:solidFill>
                    <w14:schemeClr w14:val="tx1"/>
                  </w14:solidFill>
                </w14:textFill>
              </w:rPr>
              <w:t>间</w:t>
            </w:r>
          </w:p>
        </w:tc>
        <w:tc>
          <w:tcPr>
            <w:tcW w:w="2700" w:type="dxa"/>
            <w:gridSpan w:val="4"/>
            <w:tcBorders>
              <w:top w:val="single" w:color="000000" w:sz="4" w:space="0"/>
              <w:left w:val="single" w:color="000000" w:sz="4" w:space="0"/>
              <w:bottom w:val="single" w:color="000000" w:sz="4" w:space="0"/>
              <w:right w:val="single" w:color="auto"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参加过的项目或类似项目</w:t>
            </w:r>
          </w:p>
        </w:tc>
        <w:tc>
          <w:tcPr>
            <w:tcW w:w="1285" w:type="dxa"/>
            <w:gridSpan w:val="2"/>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业绩中主要完成的工作说明</w:t>
            </w:r>
          </w:p>
        </w:tc>
        <w:tc>
          <w:tcPr>
            <w:tcW w:w="1088"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备注</w:t>
            </w:r>
          </w:p>
        </w:tc>
      </w:tr>
      <w:tr>
        <w:tblPrEx>
          <w:tblLayout w:type="fixed"/>
          <w:tblCellMar>
            <w:top w:w="0" w:type="dxa"/>
            <w:left w:w="0" w:type="dxa"/>
            <w:bottom w:w="0" w:type="dxa"/>
            <w:right w:w="0" w:type="dxa"/>
          </w:tblCellMar>
        </w:tblPrEx>
        <w:trPr>
          <w:trHeight w:val="701" w:hRule="exact"/>
        </w:trPr>
        <w:tc>
          <w:tcPr>
            <w:tcW w:w="1153"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c>
        <w:tc>
          <w:tcPr>
            <w:tcW w:w="2700" w:type="dxa"/>
            <w:gridSpan w:val="4"/>
            <w:tcBorders>
              <w:top w:val="single" w:color="000000" w:sz="4" w:space="0"/>
              <w:left w:val="single" w:color="000000" w:sz="4" w:space="0"/>
              <w:bottom w:val="single" w:color="000000" w:sz="4" w:space="0"/>
              <w:right w:val="single" w:color="auto"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c>
        <w:tc>
          <w:tcPr>
            <w:tcW w:w="1285" w:type="dxa"/>
            <w:gridSpan w:val="2"/>
            <w:tcBorders>
              <w:top w:val="single" w:color="000000" w:sz="4" w:space="0"/>
              <w:left w:val="single" w:color="auto"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700" w:hRule="exact"/>
        </w:trPr>
        <w:tc>
          <w:tcPr>
            <w:tcW w:w="1153"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c>
        <w:tc>
          <w:tcPr>
            <w:tcW w:w="2700" w:type="dxa"/>
            <w:gridSpan w:val="4"/>
            <w:tcBorders>
              <w:top w:val="single" w:color="000000" w:sz="4" w:space="0"/>
              <w:left w:val="single" w:color="000000" w:sz="4" w:space="0"/>
              <w:bottom w:val="single" w:color="000000" w:sz="4" w:space="0"/>
              <w:right w:val="single" w:color="auto"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c>
        <w:tc>
          <w:tcPr>
            <w:tcW w:w="1285" w:type="dxa"/>
            <w:gridSpan w:val="2"/>
            <w:tcBorders>
              <w:top w:val="single" w:color="000000" w:sz="4" w:space="0"/>
              <w:left w:val="single" w:color="auto"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700" w:hRule="exact"/>
        </w:trPr>
        <w:tc>
          <w:tcPr>
            <w:tcW w:w="1153"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w:t>
            </w:r>
          </w:p>
        </w:tc>
        <w:tc>
          <w:tcPr>
            <w:tcW w:w="2700" w:type="dxa"/>
            <w:gridSpan w:val="4"/>
            <w:tcBorders>
              <w:top w:val="single" w:color="000000" w:sz="4" w:space="0"/>
              <w:left w:val="single" w:color="000000" w:sz="4" w:space="0"/>
              <w:bottom w:val="single" w:color="000000" w:sz="4" w:space="0"/>
              <w:right w:val="single" w:color="auto" w:sz="4" w:space="0"/>
            </w:tcBorders>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w:t>
            </w:r>
          </w:p>
        </w:tc>
        <w:tc>
          <w:tcPr>
            <w:tcW w:w="1285" w:type="dxa"/>
            <w:gridSpan w:val="2"/>
            <w:tcBorders>
              <w:top w:val="single" w:color="000000" w:sz="4" w:space="0"/>
              <w:left w:val="single" w:color="auto"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w:t>
            </w:r>
          </w:p>
        </w:tc>
        <w:tc>
          <w:tcPr>
            <w:tcW w:w="2297" w:type="dxa"/>
            <w:gridSpan w:val="2"/>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w:t>
            </w:r>
          </w:p>
        </w:tc>
      </w:tr>
    </w:tbl>
    <w:p>
      <w:pPr>
        <w:rPr>
          <w:rFonts w:ascii="Times New Roman" w:hAnsi="Times New Roman" w:cs="Times New Roman"/>
          <w:color w:val="000000" w:themeColor="text1"/>
          <w:kern w:val="0"/>
          <w:sz w:val="24"/>
          <w:szCs w:val="24"/>
          <w:highlight w:val="none"/>
          <w14:textFill>
            <w14:solidFill>
              <w14:schemeClr w14:val="tx1"/>
            </w14:solidFill>
          </w14:textFill>
        </w:rPr>
      </w:pPr>
    </w:p>
    <w:p>
      <w:pPr>
        <w:rPr>
          <w:rFonts w:ascii="Times New Roman" w:hAnsi="Times New Roman" w:cs="Times New Roman"/>
          <w:color w:val="000000" w:themeColor="text1"/>
          <w:kern w:val="0"/>
          <w:sz w:val="24"/>
          <w:szCs w:val="24"/>
          <w:highlight w:val="none"/>
          <w14:textFill>
            <w14:solidFill>
              <w14:schemeClr w14:val="tx1"/>
            </w14:solidFill>
          </w14:textFill>
        </w:rPr>
      </w:pPr>
    </w:p>
    <w:p>
      <w:pPr>
        <w:ind w:firstLine="420" w:firstLineChars="200"/>
        <w:rPr>
          <w:color w:val="000000" w:themeColor="text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说明：请投标人根据招标文件相关要求和实际情况如实填写此表，在此表基础上如有补充信息可自行添加。</w:t>
      </w:r>
    </w:p>
    <w:p>
      <w:pPr>
        <w:rPr>
          <w:color w:val="000000" w:themeColor="text1"/>
          <w:highlight w:val="none"/>
          <w14:textFill>
            <w14:solidFill>
              <w14:schemeClr w14:val="tx1"/>
            </w14:solidFill>
          </w14:textFill>
        </w:rPr>
      </w:pPr>
    </w:p>
    <w:p>
      <w:pPr>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我公司承诺以上内容</w:t>
      </w:r>
      <w:r>
        <w:rPr>
          <w:rFonts w:hint="eastAsia" w:ascii="Times New Roman" w:hAnsi="Times New Roman" w:cs="Times New Roman"/>
          <w:color w:val="000000" w:themeColor="text1"/>
          <w:kern w:val="0"/>
          <w:szCs w:val="21"/>
          <w:highlight w:val="none"/>
          <w:u w:val="single"/>
          <w14:textFill>
            <w14:solidFill>
              <w14:schemeClr w14:val="tx1"/>
            </w14:solidFill>
          </w14:textFill>
        </w:rPr>
        <w:t>信息都是真实、可靠的。在评标及后续工作中若发现表中信息的真实性、可靠性存在弄虚作假等行为，招标人有权取消我司中标资格并没收我司投标保证金（或履约保证金），我司愿赔偿相应损失并承担一切责任。</w:t>
      </w:r>
    </w:p>
    <w:p>
      <w:pPr>
        <w:spacing w:line="360" w:lineRule="auto"/>
        <w:jc w:val="left"/>
        <w:rPr>
          <w:rFonts w:ascii="Times New Roman" w:hAnsi="Times New Roman" w:cs="Times New Roman"/>
          <w:color w:val="000000" w:themeColor="text1"/>
          <w:szCs w:val="21"/>
          <w:highlight w:val="none"/>
          <w14:textFill>
            <w14:solidFill>
              <w14:schemeClr w14:val="tx1"/>
            </w14:solidFill>
          </w14:textFill>
        </w:rPr>
      </w:pPr>
    </w:p>
    <w:p>
      <w:pPr>
        <w:spacing w:line="360" w:lineRule="auto"/>
        <w:jc w:val="left"/>
        <w:rPr>
          <w:rFonts w:ascii="Times New Roman" w:hAnsi="Times New Roman" w:cs="Times New Roman"/>
          <w:b/>
          <w:color w:val="000000" w:themeColor="text1"/>
          <w:szCs w:val="24"/>
          <w:highlight w:val="none"/>
          <w14:textFill>
            <w14:solidFill>
              <w14:schemeClr w14:val="tx1"/>
            </w14:solidFill>
          </w14:textFill>
        </w:rPr>
      </w:pPr>
      <w:r>
        <w:rPr>
          <w:rFonts w:hint="eastAsia" w:ascii="Times New Roman" w:hAnsi="Times New Roman" w:cs="Times New Roman"/>
          <w:b/>
          <w:color w:val="000000" w:themeColor="text1"/>
          <w:szCs w:val="24"/>
          <w:highlight w:val="none"/>
          <w14:textFill>
            <w14:solidFill>
              <w14:schemeClr w14:val="tx1"/>
            </w14:solidFill>
          </w14:textFill>
        </w:rPr>
        <w:t>投标人（公章）：</w:t>
      </w:r>
    </w:p>
    <w:p>
      <w:pPr>
        <w:spacing w:line="360" w:lineRule="auto"/>
        <w:rPr>
          <w:rFonts w:ascii="Times New Roman" w:hAnsi="Times New Roman" w:cs="Times New Roman"/>
          <w:b/>
          <w:color w:val="000000" w:themeColor="text1"/>
          <w:szCs w:val="24"/>
          <w:highlight w:val="none"/>
          <w14:textFill>
            <w14:solidFill>
              <w14:schemeClr w14:val="tx1"/>
            </w14:solidFill>
          </w14:textFill>
        </w:rPr>
      </w:pPr>
      <w:r>
        <w:rPr>
          <w:rFonts w:ascii="Times New Roman" w:hAnsi="Times New Roman" w:cs="Times New Roman"/>
          <w:b/>
          <w:color w:val="000000" w:themeColor="text1"/>
          <w:szCs w:val="24"/>
          <w:highlight w:val="none"/>
          <w14:textFill>
            <w14:solidFill>
              <w14:schemeClr w14:val="tx1"/>
            </w14:solidFill>
          </w14:textFill>
        </w:rPr>
        <w:t>法定代表人或其委托代理人：（盖章或签字）</w:t>
      </w:r>
    </w:p>
    <w:p>
      <w:pPr>
        <w:widowControl/>
        <w:jc w:val="left"/>
        <w:rPr>
          <w:rFonts w:ascii="Times New Roman" w:hAnsi="Times New Roman" w:cs="Times New Roman"/>
          <w:b/>
          <w:color w:val="000000" w:themeColor="text1"/>
          <w:szCs w:val="24"/>
          <w:highlight w:val="none"/>
          <w14:textFill>
            <w14:solidFill>
              <w14:schemeClr w14:val="tx1"/>
            </w14:solidFill>
          </w14:textFill>
        </w:rPr>
      </w:pPr>
      <w:r>
        <w:rPr>
          <w:rFonts w:ascii="Times New Roman" w:hAnsi="Times New Roman" w:cs="Times New Roman"/>
          <w:b/>
          <w:color w:val="000000" w:themeColor="text1"/>
          <w:szCs w:val="24"/>
          <w:highlight w:val="none"/>
          <w14:textFill>
            <w14:solidFill>
              <w14:schemeClr w14:val="tx1"/>
            </w14:solidFill>
          </w14:textFill>
        </w:rPr>
        <w:t>年月日</w:t>
      </w:r>
    </w:p>
    <w:p>
      <w:pPr>
        <w:widowControl/>
        <w:jc w:val="left"/>
        <w:rPr>
          <w:rFonts w:ascii="Times New Roman" w:hAnsi="Times New Roman" w:eastAsia="仿宋" w:cs="Times New Roman"/>
          <w:b/>
          <w:bCs/>
          <w:color w:val="000000" w:themeColor="text1"/>
          <w:kern w:val="0"/>
          <w:sz w:val="30"/>
          <w:szCs w:val="30"/>
          <w:highlight w:val="none"/>
          <w14:textFill>
            <w14:solidFill>
              <w14:schemeClr w14:val="tx1"/>
            </w14:solidFill>
          </w14:textFill>
        </w:rPr>
      </w:pPr>
      <w:r>
        <w:rPr>
          <w:rFonts w:ascii="Times New Roman" w:hAnsi="Times New Roman" w:eastAsia="仿宋" w:cs="Times New Roman"/>
          <w:b/>
          <w:bCs/>
          <w:color w:val="000000" w:themeColor="text1"/>
          <w:kern w:val="0"/>
          <w:sz w:val="30"/>
          <w:szCs w:val="30"/>
          <w:highlight w:val="none"/>
          <w14:textFill>
            <w14:solidFill>
              <w14:schemeClr w14:val="tx1"/>
            </w14:solidFill>
          </w14:textFill>
        </w:rPr>
        <w:br w:type="page"/>
      </w:r>
    </w:p>
    <w:p>
      <w:pPr>
        <w:widowControl/>
        <w:autoSpaceDE w:val="0"/>
        <w:autoSpaceDN w:val="0"/>
        <w:adjustRightInd w:val="0"/>
        <w:snapToGrid w:val="0"/>
        <w:spacing w:line="360" w:lineRule="auto"/>
        <w:jc w:val="left"/>
        <w:rPr>
          <w:rFonts w:ascii="宋体" w:hAnsi="宋体" w:eastAsia="宋体" w:cs="MingLiU"/>
          <w:color w:val="000000" w:themeColor="text1"/>
          <w:kern w:val="0"/>
          <w:szCs w:val="21"/>
          <w:highlight w:val="none"/>
          <w14:textFill>
            <w14:solidFill>
              <w14:schemeClr w14:val="tx1"/>
            </w14:solidFill>
          </w14:textFill>
        </w:rPr>
      </w:pPr>
      <w:r>
        <w:rPr>
          <w:rFonts w:hint="eastAsia" w:ascii="宋体" w:hAnsi="宋体" w:eastAsia="宋体" w:cs="MingLiU"/>
          <w:color w:val="000000" w:themeColor="text1"/>
          <w:kern w:val="0"/>
          <w:szCs w:val="21"/>
          <w:highlight w:val="none"/>
          <w14:textFill>
            <w14:solidFill>
              <w14:schemeClr w14:val="tx1"/>
            </w14:solidFill>
          </w14:textFill>
        </w:rPr>
        <w:t>附件6：银行类型附表</w:t>
      </w:r>
    </w:p>
    <w:tbl>
      <w:tblPr>
        <w:tblStyle w:val="58"/>
        <w:tblW w:w="6850" w:type="dxa"/>
        <w:jc w:val="center"/>
        <w:tblInd w:w="93" w:type="dxa"/>
        <w:tblLayout w:type="fixed"/>
        <w:tblCellMar>
          <w:top w:w="0" w:type="dxa"/>
          <w:left w:w="108" w:type="dxa"/>
          <w:bottom w:w="0" w:type="dxa"/>
          <w:right w:w="108" w:type="dxa"/>
        </w:tblCellMar>
      </w:tblPr>
      <w:tblGrid>
        <w:gridCol w:w="700"/>
        <w:gridCol w:w="3457"/>
        <w:gridCol w:w="1469"/>
        <w:gridCol w:w="1224"/>
      </w:tblGrid>
      <w:tr>
        <w:tblPrEx>
          <w:tblLayout w:type="fixed"/>
          <w:tblCellMar>
            <w:top w:w="0" w:type="dxa"/>
            <w:left w:w="108" w:type="dxa"/>
            <w:bottom w:w="0" w:type="dxa"/>
            <w:right w:w="108" w:type="dxa"/>
          </w:tblCellMar>
        </w:tblPrEx>
        <w:trPr>
          <w:trHeight w:val="31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_GBK" w:hAnsi="宋体" w:eastAsia="方正小标宋_GBK" w:cs="宋体"/>
                <w:b/>
                <w:bCs/>
                <w:color w:val="000000" w:themeColor="text1"/>
                <w:kern w:val="0"/>
                <w:sz w:val="20"/>
                <w:szCs w:val="20"/>
                <w:highlight w:val="none"/>
                <w14:textFill>
                  <w14:solidFill>
                    <w14:schemeClr w14:val="tx1"/>
                  </w14:solidFill>
                </w14:textFill>
              </w:rPr>
            </w:pPr>
            <w:r>
              <w:rPr>
                <w:rFonts w:hint="eastAsia" w:ascii="方正小标宋_GBK" w:hAnsi="宋体" w:eastAsia="方正小标宋_GBK" w:cs="宋体"/>
                <w:b/>
                <w:bCs/>
                <w:color w:val="000000" w:themeColor="text1"/>
                <w:kern w:val="0"/>
                <w:sz w:val="20"/>
                <w:szCs w:val="20"/>
                <w:highlight w:val="none"/>
                <w14:textFill>
                  <w14:solidFill>
                    <w14:schemeClr w14:val="tx1"/>
                  </w14:solidFill>
                </w14:textFill>
              </w:rPr>
              <w:t>序号</w:t>
            </w:r>
          </w:p>
        </w:tc>
        <w:tc>
          <w:tcPr>
            <w:tcW w:w="34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_GBK" w:hAnsi="宋体" w:eastAsia="方正小标宋_GBK" w:cs="宋体"/>
                <w:b/>
                <w:bCs/>
                <w:color w:val="000000" w:themeColor="text1"/>
                <w:kern w:val="0"/>
                <w:sz w:val="20"/>
                <w:szCs w:val="20"/>
                <w:highlight w:val="none"/>
                <w14:textFill>
                  <w14:solidFill>
                    <w14:schemeClr w14:val="tx1"/>
                  </w14:solidFill>
                </w14:textFill>
              </w:rPr>
            </w:pPr>
            <w:r>
              <w:rPr>
                <w:rFonts w:hint="eastAsia" w:ascii="方正小标宋_GBK" w:hAnsi="宋体" w:eastAsia="方正小标宋_GBK" w:cs="宋体"/>
                <w:b/>
                <w:bCs/>
                <w:color w:val="000000" w:themeColor="text1"/>
                <w:kern w:val="0"/>
                <w:sz w:val="20"/>
                <w:szCs w:val="20"/>
                <w:highlight w:val="none"/>
                <w14:textFill>
                  <w14:solidFill>
                    <w14:schemeClr w14:val="tx1"/>
                  </w14:solidFill>
                </w14:textFill>
              </w:rPr>
              <w:t>机构名称</w:t>
            </w:r>
          </w:p>
        </w:tc>
        <w:tc>
          <w:tcPr>
            <w:tcW w:w="14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_GBK" w:hAnsi="宋体" w:eastAsia="方正小标宋_GBK" w:cs="宋体"/>
                <w:b/>
                <w:bCs/>
                <w:color w:val="000000" w:themeColor="text1"/>
                <w:kern w:val="0"/>
                <w:sz w:val="20"/>
                <w:szCs w:val="20"/>
                <w:highlight w:val="none"/>
                <w14:textFill>
                  <w14:solidFill>
                    <w14:schemeClr w14:val="tx1"/>
                  </w14:solidFill>
                </w14:textFill>
              </w:rPr>
            </w:pPr>
            <w:r>
              <w:rPr>
                <w:rFonts w:hint="eastAsia" w:ascii="方正小标宋_GBK" w:hAnsi="宋体" w:eastAsia="方正小标宋_GBK" w:cs="宋体"/>
                <w:b/>
                <w:bCs/>
                <w:color w:val="000000" w:themeColor="text1"/>
                <w:kern w:val="0"/>
                <w:sz w:val="20"/>
                <w:szCs w:val="20"/>
                <w:highlight w:val="none"/>
                <w14:textFill>
                  <w14:solidFill>
                    <w14:schemeClr w14:val="tx1"/>
                  </w14:solidFill>
                </w14:textFill>
              </w:rPr>
              <w:t>分类</w:t>
            </w: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_GBK" w:hAnsi="宋体" w:eastAsia="方正小标宋_GBK" w:cs="宋体"/>
                <w:b/>
                <w:bCs/>
                <w:color w:val="000000" w:themeColor="text1"/>
                <w:kern w:val="0"/>
                <w:sz w:val="20"/>
                <w:szCs w:val="20"/>
                <w:highlight w:val="none"/>
                <w14:textFill>
                  <w14:solidFill>
                    <w14:schemeClr w14:val="tx1"/>
                  </w14:solidFill>
                </w14:textFill>
              </w:rPr>
            </w:pPr>
            <w:r>
              <w:rPr>
                <w:rFonts w:hint="eastAsia" w:ascii="方正小标宋_GBK" w:hAnsi="宋体" w:eastAsia="方正小标宋_GBK" w:cs="宋体"/>
                <w:b/>
                <w:bCs/>
                <w:color w:val="000000" w:themeColor="text1"/>
                <w:kern w:val="0"/>
                <w:sz w:val="20"/>
                <w:szCs w:val="20"/>
                <w:highlight w:val="none"/>
                <w14:textFill>
                  <w14:solidFill>
                    <w14:schemeClr w14:val="tx1"/>
                  </w14:solidFill>
                </w14:textFill>
              </w:rPr>
              <w:t>案例得分</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中国工商银行股份有限公司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一类银行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10</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中国建设银行股份有限公司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一类银行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10</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3</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中国农业银行股份有限公司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一类银行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10</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4</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中国银行股份有限公司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一类银行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10</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汇丰银行（中国）有限公司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一类银行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10</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6</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招商银行股份有限公司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一类银行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10</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7</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交通银行股份有限公司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一类银行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10</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8</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中国民生银行股份有限公司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二类银行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8</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9</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中信银行股份有限公司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二类银行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8</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10</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兴业银行股份有限公司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二类银行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8</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11</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渣打银行（中国）有限公司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二类银行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8</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12</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中国光大银行股份有限公司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二类银行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8</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13</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平安银行股份有限公司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二类银行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8</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14</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华夏银行股份有限公司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二类银行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8</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15</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恒生银行（中国）有限公司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二类银行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8</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16</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上海浦东发展银行股份有限公司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二类银行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8</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17</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北京银行股份有限公司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18</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江苏银行股份有限公司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19</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浙商银行股份有限公司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20</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上海银行股份有限公司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21</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宁波银行股份有限公司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22</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重庆农村商业银行</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23</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南京银行股份有限公司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24</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徽商银行股份有限公司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25</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锦州银行股份有限公司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26</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广州农村商业银行股份有限公司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27</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杭州银行股份有限公司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28</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东亚银行（中国）有限公司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29</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贵阳银行股份有限公司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30</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长沙银行股份有限公司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31</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中原银行股份有限公司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32</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盛京银行股份有限公司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33</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哈尔滨银行股份有限公司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34</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江西银行股份有限公司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35</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郑州银行股份有限公司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36</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天津银行股份有限公司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37</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成都银行股份有限公司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38</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甘肃银行股份有限公司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39</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青岛农村商业银行股份有限公司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40</w:t>
            </w:r>
          </w:p>
        </w:tc>
        <w:tc>
          <w:tcPr>
            <w:tcW w:w="3457"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江苏常熟农村商业银行股份有限公司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二类银行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41</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包商银行股份有限公司</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三类银行</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5</w:t>
            </w:r>
          </w:p>
        </w:tc>
      </w:tr>
      <w:tr>
        <w:tblPrEx>
          <w:tblLayout w:type="fixed"/>
          <w:tblCellMar>
            <w:top w:w="0" w:type="dxa"/>
            <w:left w:w="108" w:type="dxa"/>
            <w:bottom w:w="0" w:type="dxa"/>
            <w:right w:w="108" w:type="dxa"/>
          </w:tblCellMar>
        </w:tblPrEx>
        <w:trPr>
          <w:trHeight w:val="29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42</w:t>
            </w:r>
          </w:p>
        </w:tc>
        <w:tc>
          <w:tcPr>
            <w:tcW w:w="3457"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其他银行</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w:t>
            </w:r>
          </w:p>
        </w:tc>
      </w:tr>
    </w:tbl>
    <w:p>
      <w:pPr>
        <w:autoSpaceDE w:val="0"/>
        <w:autoSpaceDN w:val="0"/>
        <w:adjustRightInd w:val="0"/>
        <w:rPr>
          <w:rFonts w:ascii="Calibri" w:hAnsi="Calibri" w:eastAsia="方正仿宋_GBK" w:cs="Calibri"/>
          <w:color w:val="000000" w:themeColor="text1"/>
          <w:kern w:val="0"/>
          <w:szCs w:val="21"/>
          <w:highlight w:val="none"/>
          <w14:textFill>
            <w14:solidFill>
              <w14:schemeClr w14:val="tx1"/>
            </w14:solidFill>
          </w14:textFill>
        </w:rPr>
      </w:pPr>
      <w:r>
        <w:rPr>
          <w:rFonts w:hint="eastAsia" w:ascii="Calibri" w:hAnsi="Calibri" w:eastAsia="方正仿宋_GBK" w:cs="Calibri"/>
          <w:color w:val="000000" w:themeColor="text1"/>
          <w:kern w:val="0"/>
          <w:szCs w:val="21"/>
          <w:highlight w:val="none"/>
          <w14:textFill>
            <w14:solidFill>
              <w14:schemeClr w14:val="tx1"/>
            </w14:solidFill>
          </w14:textFill>
        </w:rPr>
        <w:t>附件7：</w:t>
      </w:r>
    </w:p>
    <w:p>
      <w:pPr>
        <w:pStyle w:val="2"/>
        <w:ind w:firstLine="643"/>
        <w:jc w:val="center"/>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重庆银行</w:t>
      </w:r>
      <w:r>
        <w:rPr>
          <w:rFonts w:hint="eastAsia" w:ascii="仿宋" w:hAnsi="仿宋" w:eastAsia="仿宋"/>
          <w:color w:val="000000" w:themeColor="text1"/>
          <w:sz w:val="32"/>
          <w:szCs w:val="32"/>
          <w:highlight w:val="none"/>
          <w14:textFill>
            <w14:solidFill>
              <w14:schemeClr w14:val="tx1"/>
            </w14:solidFill>
          </w14:textFill>
        </w:rPr>
        <w:t>监管统计报表系统项目技术方案</w:t>
      </w:r>
    </w:p>
    <w:p>
      <w:pPr>
        <w:pStyle w:val="2"/>
        <w:numPr>
          <w:ilvl w:val="0"/>
          <w:numId w:val="17"/>
        </w:numPr>
        <w:tabs>
          <w:tab w:val="left" w:pos="720"/>
        </w:tabs>
        <w:ind w:firstLine="562"/>
        <w:rPr>
          <w:rFonts w:ascii="仿宋" w:hAnsi="仿宋" w:eastAsia="仿宋"/>
          <w:color w:val="000000" w:themeColor="text1"/>
          <w:sz w:val="28"/>
          <w:szCs w:val="28"/>
          <w:highlight w:val="none"/>
          <w14:textFill>
            <w14:solidFill>
              <w14:schemeClr w14:val="tx1"/>
            </w14:solidFill>
          </w14:textFill>
        </w:rPr>
      </w:pPr>
      <w:bookmarkStart w:id="251" w:name="_Toc299530645"/>
      <w:r>
        <w:rPr>
          <w:rFonts w:ascii="仿宋" w:hAnsi="仿宋" w:eastAsia="仿宋"/>
          <w:color w:val="000000" w:themeColor="text1"/>
          <w:sz w:val="28"/>
          <w:szCs w:val="28"/>
          <w:highlight w:val="none"/>
          <w14:textFill>
            <w14:solidFill>
              <w14:schemeClr w14:val="tx1"/>
            </w14:solidFill>
          </w14:textFill>
        </w:rPr>
        <w:t>总体方案说明</w:t>
      </w:r>
      <w:bookmarkEnd w:id="251"/>
    </w:p>
    <w:p>
      <w:pPr>
        <w:pStyle w:val="3"/>
        <w:numPr>
          <w:ilvl w:val="1"/>
          <w:numId w:val="17"/>
        </w:numPr>
        <w:tabs>
          <w:tab w:val="clear" w:pos="708"/>
        </w:tabs>
        <w:rPr>
          <w:rFonts w:ascii="仿宋" w:hAnsi="仿宋" w:eastAsia="仿宋"/>
          <w:color w:val="000000" w:themeColor="text1"/>
          <w:szCs w:val="28"/>
          <w:highlight w:val="none"/>
          <w14:textFill>
            <w14:solidFill>
              <w14:schemeClr w14:val="tx1"/>
            </w14:solidFill>
          </w14:textFill>
        </w:rPr>
      </w:pPr>
      <w:bookmarkStart w:id="252" w:name="_Toc299530646"/>
      <w:r>
        <w:rPr>
          <w:rFonts w:ascii="仿宋" w:hAnsi="仿宋" w:eastAsia="仿宋"/>
          <w:color w:val="000000" w:themeColor="text1"/>
          <w:szCs w:val="28"/>
          <w:highlight w:val="none"/>
          <w14:textFill>
            <w14:solidFill>
              <w14:schemeClr w14:val="tx1"/>
            </w14:solidFill>
          </w14:textFill>
        </w:rPr>
        <w:t>项目背景</w:t>
      </w:r>
      <w:bookmarkEnd w:id="252"/>
    </w:p>
    <w:p>
      <w:pPr>
        <w:pStyle w:val="31"/>
        <w:spacing w:line="360" w:lineRule="auto"/>
        <w:ind w:firstLine="560" w:firstLineChars="200"/>
        <w:rPr>
          <w:rFonts w:ascii="仿宋" w:hAnsi="仿宋" w:eastAsia="仿宋"/>
          <w:color w:val="000000" w:themeColor="text1"/>
          <w:sz w:val="28"/>
          <w:highlight w:val="none"/>
          <w14:textFill>
            <w14:solidFill>
              <w14:schemeClr w14:val="tx1"/>
            </w14:solidFill>
          </w14:textFill>
        </w:rPr>
      </w:pPr>
      <w:r>
        <w:rPr>
          <w:rFonts w:ascii="仿宋" w:hAnsi="仿宋" w:eastAsia="仿宋"/>
          <w:color w:val="000000" w:themeColor="text1"/>
          <w:sz w:val="28"/>
          <w:highlight w:val="none"/>
          <w14:textFill>
            <w14:solidFill>
              <w14:schemeClr w14:val="tx1"/>
            </w14:solidFill>
          </w14:textFill>
        </w:rPr>
        <w:t>1</w:t>
      </w:r>
      <w:r>
        <w:rPr>
          <w:rFonts w:hint="eastAsia" w:ascii="仿宋" w:hAnsi="仿宋" w:eastAsia="仿宋"/>
          <w:color w:val="000000" w:themeColor="text1"/>
          <w:sz w:val="28"/>
          <w:highlight w:val="none"/>
          <w14:textFill>
            <w14:solidFill>
              <w14:schemeClr w14:val="tx1"/>
            </w14:solidFill>
          </w14:textFill>
        </w:rPr>
        <w:t>、金融统计监管形势严峻，统计工作标准要求提高</w:t>
      </w:r>
    </w:p>
    <w:p>
      <w:pPr>
        <w:pStyle w:val="31"/>
        <w:spacing w:line="360" w:lineRule="auto"/>
        <w:ind w:firstLine="560" w:firstLineChars="200"/>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根据</w:t>
      </w:r>
      <w:r>
        <w:rPr>
          <w:rFonts w:ascii="仿宋" w:hAnsi="仿宋" w:eastAsia="仿宋"/>
          <w:color w:val="000000" w:themeColor="text1"/>
          <w:sz w:val="28"/>
          <w:highlight w:val="none"/>
          <w14:textFill>
            <w14:solidFill>
              <w14:schemeClr w14:val="tx1"/>
            </w14:solidFill>
          </w14:textFill>
        </w:rPr>
        <w:t>2018</w:t>
      </w:r>
      <w:r>
        <w:rPr>
          <w:rFonts w:hint="eastAsia" w:ascii="仿宋" w:hAnsi="仿宋" w:eastAsia="仿宋"/>
          <w:color w:val="000000" w:themeColor="text1"/>
          <w:sz w:val="28"/>
          <w:highlight w:val="none"/>
          <w14:textFill>
            <w14:solidFill>
              <w14:schemeClr w14:val="tx1"/>
            </w14:solidFill>
          </w14:textFill>
        </w:rPr>
        <w:t>年</w:t>
      </w:r>
      <w:r>
        <w:rPr>
          <w:rFonts w:ascii="仿宋" w:hAnsi="仿宋" w:eastAsia="仿宋"/>
          <w:color w:val="000000" w:themeColor="text1"/>
          <w:sz w:val="28"/>
          <w:highlight w:val="none"/>
          <w14:textFill>
            <w14:solidFill>
              <w14:schemeClr w14:val="tx1"/>
            </w14:solidFill>
          </w14:textFill>
        </w:rPr>
        <w:t>3</w:t>
      </w:r>
      <w:r>
        <w:rPr>
          <w:rFonts w:hint="eastAsia" w:ascii="仿宋" w:hAnsi="仿宋" w:eastAsia="仿宋"/>
          <w:color w:val="000000" w:themeColor="text1"/>
          <w:sz w:val="28"/>
          <w:highlight w:val="none"/>
          <w14:textFill>
            <w14:solidFill>
              <w14:schemeClr w14:val="tx1"/>
            </w14:solidFill>
          </w14:textFill>
        </w:rPr>
        <w:t>月</w:t>
      </w:r>
      <w:r>
        <w:rPr>
          <w:rFonts w:ascii="仿宋" w:hAnsi="仿宋" w:eastAsia="仿宋"/>
          <w:color w:val="000000" w:themeColor="text1"/>
          <w:sz w:val="28"/>
          <w:highlight w:val="none"/>
          <w14:textFill>
            <w14:solidFill>
              <w14:schemeClr w14:val="tx1"/>
            </w14:solidFill>
          </w14:textFill>
        </w:rPr>
        <w:t>18</w:t>
      </w:r>
      <w:r>
        <w:rPr>
          <w:rFonts w:hint="eastAsia" w:ascii="仿宋" w:hAnsi="仿宋" w:eastAsia="仿宋"/>
          <w:color w:val="000000" w:themeColor="text1"/>
          <w:sz w:val="28"/>
          <w:highlight w:val="none"/>
          <w14:textFill>
            <w14:solidFill>
              <w14:schemeClr w14:val="tx1"/>
            </w14:solidFill>
          </w14:textFill>
        </w:rPr>
        <w:t>日国务院印发的《关于全面推进金融业综合统计工作的意见》（国办发〔</w:t>
      </w:r>
      <w:r>
        <w:rPr>
          <w:rFonts w:ascii="仿宋" w:hAnsi="仿宋" w:eastAsia="仿宋"/>
          <w:color w:val="000000" w:themeColor="text1"/>
          <w:sz w:val="28"/>
          <w:highlight w:val="none"/>
          <w14:textFill>
            <w14:solidFill>
              <w14:schemeClr w14:val="tx1"/>
            </w14:solidFill>
          </w14:textFill>
        </w:rPr>
        <w:t>2018</w:t>
      </w:r>
      <w:r>
        <w:rPr>
          <w:rFonts w:hint="eastAsia" w:ascii="仿宋" w:hAnsi="仿宋" w:eastAsia="仿宋"/>
          <w:color w:val="000000" w:themeColor="text1"/>
          <w:sz w:val="28"/>
          <w:highlight w:val="none"/>
          <w14:textFill>
            <w14:solidFill>
              <w14:schemeClr w14:val="tx1"/>
            </w14:solidFill>
          </w14:textFill>
        </w:rPr>
        <w:t>〕</w:t>
      </w:r>
      <w:r>
        <w:rPr>
          <w:rFonts w:ascii="仿宋" w:hAnsi="仿宋" w:eastAsia="仿宋"/>
          <w:color w:val="000000" w:themeColor="text1"/>
          <w:sz w:val="28"/>
          <w:highlight w:val="none"/>
          <w14:textFill>
            <w14:solidFill>
              <w14:schemeClr w14:val="tx1"/>
            </w14:solidFill>
          </w14:textFill>
        </w:rPr>
        <w:t xml:space="preserve">18 </w:t>
      </w:r>
      <w:r>
        <w:rPr>
          <w:rFonts w:hint="eastAsia" w:ascii="仿宋" w:hAnsi="仿宋" w:eastAsia="仿宋"/>
          <w:color w:val="000000" w:themeColor="text1"/>
          <w:sz w:val="28"/>
          <w:highlight w:val="none"/>
          <w14:textFill>
            <w14:solidFill>
              <w14:schemeClr w14:val="tx1"/>
            </w14:solidFill>
          </w14:textFill>
        </w:rPr>
        <w:t>号）以及人行、银监开展的一系列统计工作管理措施，金融统计监管形势及监管要求发生较大变化，统计工作面临前所未有的压力和挑战。人民银行、银监会等监管机构对银行的监管统计报送要求不断提高。</w:t>
      </w:r>
    </w:p>
    <w:p>
      <w:pPr>
        <w:pStyle w:val="31"/>
        <w:spacing w:line="360" w:lineRule="auto"/>
        <w:ind w:firstLine="560" w:firstLineChars="200"/>
        <w:rPr>
          <w:rFonts w:ascii="仿宋" w:hAnsi="仿宋" w:eastAsia="仿宋"/>
          <w:color w:val="000000" w:themeColor="text1"/>
          <w:sz w:val="28"/>
          <w:highlight w:val="none"/>
          <w14:textFill>
            <w14:solidFill>
              <w14:schemeClr w14:val="tx1"/>
            </w14:solidFill>
          </w14:textFill>
        </w:rPr>
      </w:pPr>
      <w:r>
        <w:rPr>
          <w:rFonts w:ascii="仿宋" w:hAnsi="仿宋" w:eastAsia="仿宋"/>
          <w:color w:val="000000" w:themeColor="text1"/>
          <w:sz w:val="28"/>
          <w:highlight w:val="none"/>
          <w14:textFill>
            <w14:solidFill>
              <w14:schemeClr w14:val="tx1"/>
            </w14:solidFill>
          </w14:textFill>
        </w:rPr>
        <w:t>2</w:t>
      </w:r>
      <w:r>
        <w:rPr>
          <w:rFonts w:hint="eastAsia" w:ascii="仿宋" w:hAnsi="仿宋" w:eastAsia="仿宋"/>
          <w:color w:val="000000" w:themeColor="text1"/>
          <w:sz w:val="28"/>
          <w:highlight w:val="none"/>
          <w14:textFill>
            <w14:solidFill>
              <w14:schemeClr w14:val="tx1"/>
            </w14:solidFill>
          </w14:textFill>
        </w:rPr>
        <w:t>、原系统原有功能无法满足监管要求，外包公司难以支持优化</w:t>
      </w:r>
    </w:p>
    <w:p>
      <w:pPr>
        <w:pStyle w:val="31"/>
        <w:spacing w:line="360" w:lineRule="auto"/>
        <w:ind w:firstLine="560" w:firstLineChars="200"/>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我行现有监管统计报表系统经过</w:t>
      </w:r>
      <w:r>
        <w:rPr>
          <w:rFonts w:ascii="仿宋" w:hAnsi="仿宋" w:eastAsia="仿宋"/>
          <w:color w:val="000000" w:themeColor="text1"/>
          <w:sz w:val="28"/>
          <w:highlight w:val="none"/>
          <w14:textFill>
            <w14:solidFill>
              <w14:schemeClr w14:val="tx1"/>
            </w14:solidFill>
          </w14:textFill>
        </w:rPr>
        <w:t>5</w:t>
      </w:r>
      <w:r>
        <w:rPr>
          <w:rFonts w:hint="eastAsia" w:ascii="仿宋" w:hAnsi="仿宋" w:eastAsia="仿宋"/>
          <w:color w:val="000000" w:themeColor="text1"/>
          <w:sz w:val="28"/>
          <w:highlight w:val="none"/>
          <w14:textFill>
            <w14:solidFill>
              <w14:schemeClr w14:val="tx1"/>
            </w14:solidFill>
          </w14:textFill>
        </w:rPr>
        <w:t>年运行，其功能覆盖、数据质量等已无法满足监管统计报表报送工作要求，如</w:t>
      </w:r>
      <w:r>
        <w:rPr>
          <w:rFonts w:ascii="仿宋" w:hAnsi="仿宋" w:eastAsia="仿宋"/>
          <w:color w:val="000000" w:themeColor="text1"/>
          <w:sz w:val="28"/>
          <w:highlight w:val="none"/>
          <w14:textFill>
            <w14:solidFill>
              <w14:schemeClr w14:val="tx1"/>
            </w14:solidFill>
          </w14:textFill>
        </w:rPr>
        <w:t>”</w:t>
      </w:r>
      <w:r>
        <w:rPr>
          <w:rFonts w:hint="eastAsia" w:ascii="仿宋" w:hAnsi="仿宋" w:eastAsia="仿宋"/>
          <w:color w:val="000000" w:themeColor="text1"/>
          <w:sz w:val="28"/>
          <w:highlight w:val="none"/>
          <w14:textFill>
            <w14:solidFill>
              <w14:schemeClr w14:val="tx1"/>
            </w14:solidFill>
          </w14:textFill>
        </w:rPr>
        <w:t>银监非现场监管报表</w:t>
      </w:r>
      <w:r>
        <w:rPr>
          <w:rFonts w:ascii="仿宋" w:hAnsi="仿宋" w:eastAsia="仿宋"/>
          <w:color w:val="000000" w:themeColor="text1"/>
          <w:sz w:val="28"/>
          <w:highlight w:val="none"/>
          <w14:textFill>
            <w14:solidFill>
              <w14:schemeClr w14:val="tx1"/>
            </w14:solidFill>
          </w14:textFill>
        </w:rPr>
        <w:t>”</w:t>
      </w:r>
      <w:r>
        <w:rPr>
          <w:rFonts w:hint="eastAsia" w:ascii="仿宋" w:hAnsi="仿宋" w:eastAsia="仿宋"/>
          <w:color w:val="000000" w:themeColor="text1"/>
          <w:sz w:val="28"/>
          <w:highlight w:val="none"/>
          <w14:textFill>
            <w14:solidFill>
              <w14:schemeClr w14:val="tx1"/>
            </w14:solidFill>
          </w14:textFill>
        </w:rPr>
        <w:t>仍然无法完全通过系统取数。现有系统外包公司人力有限，无法按照我行提出的业务要求进行开发和支持。因此为确保系统运行的稳定性、监管报表报送的可靠性，需建设符合监管要求及我行管理需要的监管统计报表系统。</w:t>
      </w:r>
    </w:p>
    <w:p>
      <w:pPr>
        <w:pStyle w:val="3"/>
        <w:numPr>
          <w:ilvl w:val="1"/>
          <w:numId w:val="17"/>
        </w:numPr>
        <w:tabs>
          <w:tab w:val="clear" w:pos="708"/>
        </w:tabs>
        <w:rPr>
          <w:rFonts w:ascii="仿宋" w:hAnsi="仿宋" w:eastAsia="仿宋"/>
          <w:color w:val="000000" w:themeColor="text1"/>
          <w:szCs w:val="28"/>
          <w:highlight w:val="none"/>
          <w14:textFill>
            <w14:solidFill>
              <w14:schemeClr w14:val="tx1"/>
            </w14:solidFill>
          </w14:textFill>
        </w:rPr>
      </w:pPr>
      <w:bookmarkStart w:id="253" w:name="_Toc299530647"/>
      <w:r>
        <w:rPr>
          <w:rFonts w:hint="eastAsia" w:ascii="仿宋" w:hAnsi="仿宋" w:eastAsia="仿宋"/>
          <w:color w:val="000000" w:themeColor="text1"/>
          <w:szCs w:val="28"/>
          <w:highlight w:val="none"/>
          <w14:textFill>
            <w14:solidFill>
              <w14:schemeClr w14:val="tx1"/>
            </w14:solidFill>
          </w14:textFill>
        </w:rPr>
        <w:t>项目</w:t>
      </w:r>
      <w:r>
        <w:rPr>
          <w:rFonts w:ascii="仿宋" w:hAnsi="仿宋" w:eastAsia="仿宋"/>
          <w:color w:val="000000" w:themeColor="text1"/>
          <w:szCs w:val="28"/>
          <w:highlight w:val="none"/>
          <w14:textFill>
            <w14:solidFill>
              <w14:schemeClr w14:val="tx1"/>
            </w14:solidFill>
          </w14:textFill>
        </w:rPr>
        <w:t>内容</w:t>
      </w:r>
      <w:bookmarkEnd w:id="253"/>
    </w:p>
    <w:p>
      <w:pPr>
        <w:pStyle w:val="31"/>
        <w:spacing w:line="360" w:lineRule="auto"/>
        <w:ind w:firstLine="560" w:firstLineChars="200"/>
        <w:rPr>
          <w:rFonts w:ascii="仿宋" w:hAnsi="仿宋" w:eastAsia="仿宋"/>
          <w:color w:val="000000" w:themeColor="text1"/>
          <w:sz w:val="28"/>
          <w:highlight w:val="none"/>
          <w14:textFill>
            <w14:solidFill>
              <w14:schemeClr w14:val="tx1"/>
            </w14:solidFill>
          </w14:textFill>
        </w:rPr>
      </w:pPr>
      <w:r>
        <w:rPr>
          <w:rFonts w:ascii="仿宋" w:hAnsi="仿宋" w:eastAsia="仿宋"/>
          <w:iCs/>
          <w:color w:val="000000" w:themeColor="text1"/>
          <w:sz w:val="28"/>
          <w:szCs w:val="28"/>
          <w:highlight w:val="none"/>
          <w14:textFill>
            <w14:solidFill>
              <w14:schemeClr w14:val="tx1"/>
            </w14:solidFill>
          </w14:textFill>
        </w:rPr>
        <w:t>通过</w:t>
      </w:r>
      <w:r>
        <w:rPr>
          <w:rFonts w:hint="eastAsia" w:ascii="仿宋" w:hAnsi="仿宋" w:eastAsia="仿宋"/>
          <w:iCs/>
          <w:color w:val="000000" w:themeColor="text1"/>
          <w:sz w:val="28"/>
          <w:szCs w:val="28"/>
          <w:highlight w:val="none"/>
          <w14:textFill>
            <w14:solidFill>
              <w14:schemeClr w14:val="tx1"/>
            </w14:solidFill>
          </w14:textFill>
        </w:rPr>
        <w:t>建设监管统计报表系统项目，建设一个</w:t>
      </w:r>
      <w:r>
        <w:rPr>
          <w:rFonts w:hint="eastAsia" w:ascii="仿宋" w:hAnsi="仿宋" w:eastAsia="仿宋"/>
          <w:color w:val="000000" w:themeColor="text1"/>
          <w:sz w:val="28"/>
          <w:highlight w:val="none"/>
          <w14:textFill>
            <w14:solidFill>
              <w14:schemeClr w14:val="tx1"/>
            </w14:solidFill>
          </w14:textFill>
        </w:rPr>
        <w:t>满足监管要求的</w:t>
      </w:r>
      <w:bookmarkStart w:id="254" w:name="_Toc299530649"/>
      <w:r>
        <w:rPr>
          <w:rFonts w:hint="eastAsia" w:ascii="仿宋" w:hAnsi="仿宋" w:eastAsia="仿宋"/>
          <w:iCs/>
          <w:color w:val="000000" w:themeColor="text1"/>
          <w:sz w:val="28"/>
          <w:szCs w:val="28"/>
          <w:highlight w:val="none"/>
          <w14:textFill>
            <w14:solidFill>
              <w14:schemeClr w14:val="tx1"/>
            </w14:solidFill>
          </w14:textFill>
        </w:rPr>
        <w:t>标准化报送平台，完成数据补录、数据抽取、报表灵活定制、报表批量处理、指标分析、报表权限控制、系统运行监控等功能。系统可以定制、查询和管理监管机构需要的报表和我行业务部门需要的统计报表，支持对指标的展示、查询、分析以及明细数据的灵活查询。系统能够生产监管部门要求的各类报文，</w:t>
      </w:r>
      <w:r>
        <w:rPr>
          <w:rFonts w:hint="eastAsia" w:ascii="仿宋" w:hAnsi="仿宋" w:eastAsia="仿宋"/>
          <w:color w:val="000000" w:themeColor="text1"/>
          <w:sz w:val="28"/>
          <w:highlight w:val="none"/>
          <w14:textFill>
            <w14:solidFill>
              <w14:schemeClr w14:val="tx1"/>
            </w14:solidFill>
          </w14:textFill>
        </w:rPr>
        <w:t>既可以向监管机构报送监管需要的传统报表或规定格式文件，也可以按照监管要求报送标准化的明细数据。</w:t>
      </w:r>
    </w:p>
    <w:p>
      <w:pPr>
        <w:pStyle w:val="31"/>
        <w:spacing w:line="360" w:lineRule="auto"/>
        <w:ind w:firstLine="560" w:firstLineChars="200"/>
        <w:rPr>
          <w:rFonts w:ascii="仿宋" w:hAnsi="仿宋" w:eastAsia="仿宋"/>
          <w:color w:val="000000" w:themeColor="text1"/>
          <w:sz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系统应建立符合监管要求及我行发展需要的数据集市,具备适合我行各类统计工作需要的数据模型。该数据模型应在整合人民银行金融标准化、大集中报送、利率报备及银监会非现场监管报表、EAST、客户风险报送等现有监管口径基础上，涵盖我行各类业务信息，实现数据按主题统一管理，并具有一定前瞻性，易于维护。系统数据标准参考我行已制定的数据标准。</w:t>
      </w:r>
      <w:r>
        <w:rPr>
          <w:rFonts w:hint="eastAsia" w:ascii="仿宋" w:hAnsi="仿宋" w:eastAsia="仿宋"/>
          <w:color w:val="000000" w:themeColor="text1"/>
          <w:sz w:val="28"/>
          <w:highlight w:val="none"/>
          <w14:textFill>
            <w14:solidFill>
              <w14:schemeClr w14:val="tx1"/>
            </w14:solidFill>
          </w14:textFill>
        </w:rPr>
        <w:t>新的</w:t>
      </w:r>
      <w:r>
        <w:rPr>
          <w:rFonts w:hint="eastAsia" w:ascii="仿宋" w:hAnsi="仿宋" w:eastAsia="仿宋"/>
          <w:iCs/>
          <w:color w:val="000000" w:themeColor="text1"/>
          <w:sz w:val="28"/>
          <w:szCs w:val="28"/>
          <w:highlight w:val="none"/>
          <w14:textFill>
            <w14:solidFill>
              <w14:schemeClr w14:val="tx1"/>
            </w14:solidFill>
          </w14:textFill>
        </w:rPr>
        <w:t>监管统计报表系统建成上线后，将取代原有</w:t>
      </w:r>
      <w:r>
        <w:rPr>
          <w:rFonts w:hint="eastAsia" w:ascii="仿宋" w:hAnsi="仿宋" w:eastAsia="仿宋"/>
          <w:color w:val="000000" w:themeColor="text1"/>
          <w:sz w:val="28"/>
          <w:highlight w:val="none"/>
          <w14:textFill>
            <w14:solidFill>
              <w14:schemeClr w14:val="tx1"/>
            </w14:solidFill>
          </w14:textFill>
        </w:rPr>
        <w:t>监管统计报表系统。</w:t>
      </w:r>
    </w:p>
    <w:p>
      <w:pPr>
        <w:pStyle w:val="2"/>
        <w:numPr>
          <w:ilvl w:val="0"/>
          <w:numId w:val="17"/>
        </w:numPr>
        <w:tabs>
          <w:tab w:val="left" w:pos="720"/>
        </w:tabs>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技术需求</w:t>
      </w:r>
      <w:bookmarkEnd w:id="254"/>
    </w:p>
    <w:p>
      <w:pPr>
        <w:pStyle w:val="3"/>
        <w:numPr>
          <w:ilvl w:val="1"/>
          <w:numId w:val="17"/>
        </w:numPr>
        <w:tabs>
          <w:tab w:val="clear" w:pos="708"/>
        </w:tabs>
        <w:rPr>
          <w:rFonts w:ascii="仿宋" w:hAnsi="仿宋" w:eastAsia="仿宋"/>
          <w:color w:val="000000" w:themeColor="text1"/>
          <w:szCs w:val="28"/>
          <w:highlight w:val="none"/>
          <w14:textFill>
            <w14:solidFill>
              <w14:schemeClr w14:val="tx1"/>
            </w14:solidFill>
          </w14:textFill>
        </w:rPr>
      </w:pPr>
      <w:bookmarkStart w:id="255" w:name="_Toc299530650"/>
      <w:r>
        <w:rPr>
          <w:rFonts w:ascii="仿宋" w:hAnsi="仿宋" w:eastAsia="仿宋"/>
          <w:color w:val="000000" w:themeColor="text1"/>
          <w:szCs w:val="28"/>
          <w:highlight w:val="none"/>
          <w14:textFill>
            <w14:solidFill>
              <w14:schemeClr w14:val="tx1"/>
            </w14:solidFill>
          </w14:textFill>
        </w:rPr>
        <w:t>技术</w:t>
      </w:r>
      <w:bookmarkEnd w:id="255"/>
      <w:r>
        <w:rPr>
          <w:rFonts w:ascii="仿宋" w:hAnsi="仿宋" w:eastAsia="仿宋"/>
          <w:color w:val="000000" w:themeColor="text1"/>
          <w:szCs w:val="28"/>
          <w:highlight w:val="none"/>
          <w14:textFill>
            <w14:solidFill>
              <w14:schemeClr w14:val="tx1"/>
            </w14:solidFill>
          </w14:textFill>
        </w:rPr>
        <w:t>要点</w:t>
      </w:r>
    </w:p>
    <w:p>
      <w:pPr>
        <w:pStyle w:val="4"/>
        <w:numPr>
          <w:ilvl w:val="2"/>
          <w:numId w:val="18"/>
        </w:numPr>
        <w:tabs>
          <w:tab w:val="left" w:pos="180"/>
          <w:tab w:val="clear" w:pos="1294"/>
          <w:tab w:val="clear" w:pos="1418"/>
        </w:tabs>
        <w:ind w:left="540" w:hanging="36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总体架构</w:t>
      </w:r>
    </w:p>
    <w:p>
      <w:pPr>
        <w:pStyle w:val="31"/>
        <w:spacing w:line="360" w:lineRule="auto"/>
        <w:ind w:firstLine="420" w:firstLineChars="200"/>
        <w:rPr>
          <w:rFonts w:ascii="仿宋" w:hAnsi="仿宋" w:eastAsia="仿宋"/>
          <w:iCs/>
          <w:color w:val="000000" w:themeColor="text1"/>
          <w:sz w:val="28"/>
          <w:szCs w:val="28"/>
          <w:highlight w:val="none"/>
          <w14:textFill>
            <w14:solidFill>
              <w14:schemeClr w14:val="tx1"/>
            </w14:solidFill>
          </w14:textFill>
        </w:rPr>
      </w:pPr>
      <w:r>
        <w:rPr>
          <w:rFonts w:hint="eastAsia"/>
          <w:color w:val="000000" w:themeColor="text1"/>
          <w:highlight w:val="none"/>
          <w14:textFill>
            <w14:solidFill>
              <w14:schemeClr w14:val="tx1"/>
            </w14:solidFill>
          </w14:textFill>
        </w:rPr>
        <w:drawing>
          <wp:inline distT="0" distB="0" distL="114300" distR="114300">
            <wp:extent cx="5271770" cy="6214110"/>
            <wp:effectExtent l="0" t="0" r="5080" b="15240"/>
            <wp:docPr id="1" name="图片 1" descr="重庆银行项目网络架构图 - 2019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重庆银行项目网络架构图 - 20190402"/>
                    <pic:cNvPicPr>
                      <a:picLocks noChangeAspect="1"/>
                    </pic:cNvPicPr>
                  </pic:nvPicPr>
                  <pic:blipFill>
                    <a:blip r:embed="rId16"/>
                    <a:stretch>
                      <a:fillRect/>
                    </a:stretch>
                  </pic:blipFill>
                  <pic:spPr>
                    <a:xfrm>
                      <a:off x="0" y="0"/>
                      <a:ext cx="5271770" cy="6214110"/>
                    </a:xfrm>
                    <a:prstGeom prst="rect">
                      <a:avLst/>
                    </a:prstGeom>
                    <a:noFill/>
                    <a:ln w="9525">
                      <a:noFill/>
                    </a:ln>
                  </pic:spPr>
                </pic:pic>
              </a:graphicData>
            </a:graphic>
          </wp:inline>
        </w:drawing>
      </w:r>
    </w:p>
    <w:p>
      <w:pPr>
        <w:spacing w:line="360" w:lineRule="auto"/>
        <w:rPr>
          <w:color w:val="000000" w:themeColor="text1"/>
          <w:highlight w:val="none"/>
          <w14:textFill>
            <w14:solidFill>
              <w14:schemeClr w14:val="tx1"/>
            </w14:solidFill>
          </w14:textFill>
        </w:rPr>
      </w:pPr>
    </w:p>
    <w:p>
      <w:pPr>
        <w:pStyle w:val="31"/>
        <w:spacing w:line="360" w:lineRule="auto"/>
        <w:ind w:firstLine="560" w:firstLineChars="20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监管统计报表系统能够全面满足数据自动采集、交易灵活补录、报表模板灵活定制、上报流程全面管理、报送接口自定义设计、异常数据自动提醒、报送工作辅助支持等的综合性需求，并可为其他管理系统提供标准化的业务数据共享，形成灵活的报表定制及报送管理的处理流程。</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numPr>
          <w:ilvl w:val="2"/>
          <w:numId w:val="18"/>
        </w:numPr>
        <w:tabs>
          <w:tab w:val="left" w:pos="180"/>
          <w:tab w:val="clear" w:pos="1294"/>
          <w:tab w:val="clear" w:pos="1418"/>
        </w:tabs>
        <w:ind w:left="540" w:hanging="36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数据处理要求</w:t>
      </w:r>
    </w:p>
    <w:p>
      <w:pPr>
        <w:autoSpaceDE w:val="0"/>
        <w:adjustRightInd w:val="0"/>
        <w:snapToGrid w:val="0"/>
        <w:spacing w:line="360" w:lineRule="auto"/>
        <w:ind w:left="958"/>
        <w:jc w:val="left"/>
        <w:rPr>
          <w:rFonts w:ascii="仿宋" w:hAnsi="仿宋" w:eastAsia="仿宋"/>
          <w:color w:val="000000" w:themeColor="text1"/>
          <w:sz w:val="28"/>
          <w:szCs w:val="28"/>
          <w:highlight w:val="none"/>
          <w14:textFill>
            <w14:solidFill>
              <w14:schemeClr w14:val="tx1"/>
            </w14:solidFill>
          </w14:textFill>
        </w:rPr>
      </w:pPr>
    </w:p>
    <w:p>
      <w:pPr>
        <w:pStyle w:val="31"/>
        <w:spacing w:line="360" w:lineRule="auto"/>
        <w:ind w:firstLine="560" w:firstLineChars="20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数据处理架构按：临时数据存储区、统一监管数据集市区、报表数据展现区划分，如下图：</w:t>
      </w:r>
    </w:p>
    <w:p>
      <w:pPr>
        <w:spacing w:line="360" w:lineRule="auto"/>
        <w:jc w:val="center"/>
        <w:rPr>
          <w:rFonts w:ascii="微软雅黑" w:hAnsi="微软雅黑" w:eastAsia="微软雅黑"/>
          <w:color w:val="000000" w:themeColor="text1"/>
          <w:highlight w:val="none"/>
          <w14:textFill>
            <w14:solidFill>
              <w14:schemeClr w14:val="tx1"/>
            </w14:solidFill>
          </w14:textFill>
        </w:rPr>
      </w:pPr>
      <w:r>
        <w:rPr>
          <w:rFonts w:ascii="微软雅黑" w:hAnsi="微软雅黑" w:eastAsia="微软雅黑"/>
          <w:color w:val="000000" w:themeColor="text1"/>
          <w:highlight w:val="none"/>
          <w14:textFill>
            <w14:solidFill>
              <w14:schemeClr w14:val="tx1"/>
            </w14:solidFill>
          </w14:textFill>
        </w:rPr>
        <w:drawing>
          <wp:inline distT="0" distB="0" distL="114300" distR="114300">
            <wp:extent cx="5271135" cy="3580765"/>
            <wp:effectExtent l="0" t="0" r="5715" b="635"/>
            <wp:docPr id="5" name="图片 2" descr="统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统计1"/>
                    <pic:cNvPicPr>
                      <a:picLocks noChangeAspect="1"/>
                    </pic:cNvPicPr>
                  </pic:nvPicPr>
                  <pic:blipFill>
                    <a:blip r:embed="rId17"/>
                    <a:stretch>
                      <a:fillRect/>
                    </a:stretch>
                  </pic:blipFill>
                  <pic:spPr>
                    <a:xfrm>
                      <a:off x="0" y="0"/>
                      <a:ext cx="5271135" cy="3580765"/>
                    </a:xfrm>
                    <a:prstGeom prst="rect">
                      <a:avLst/>
                    </a:prstGeom>
                    <a:noFill/>
                    <a:ln w="9525">
                      <a:noFill/>
                    </a:ln>
                  </pic:spPr>
                </pic:pic>
              </a:graphicData>
            </a:graphic>
          </wp:inline>
        </w:drawing>
      </w:r>
    </w:p>
    <w:p>
      <w:pPr>
        <w:autoSpaceDE w:val="0"/>
        <w:adjustRightInd w:val="0"/>
        <w:snapToGrid w:val="0"/>
        <w:spacing w:line="360" w:lineRule="auto"/>
        <w:ind w:left="958"/>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其中：</w:t>
      </w:r>
    </w:p>
    <w:p>
      <w:pPr>
        <w:autoSpaceDE w:val="0"/>
        <w:adjustRightInd w:val="0"/>
        <w:snapToGrid w:val="0"/>
        <w:spacing w:line="360" w:lineRule="auto"/>
        <w:ind w:left="958"/>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临时数据存储区：作为数据源数据的映射存储区，对抽取的数据最大程度的保留原始数据，作为数据的明细底层区。</w:t>
      </w:r>
    </w:p>
    <w:p>
      <w:pPr>
        <w:autoSpaceDE w:val="0"/>
        <w:adjustRightInd w:val="0"/>
        <w:snapToGrid w:val="0"/>
        <w:spacing w:line="360" w:lineRule="auto"/>
        <w:ind w:left="958"/>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统一监管数据集市：对行源数据进行加工处理，将明细类数据按主题、维度、指标型数据进行划分，以满足不同行内用户需求。</w:t>
      </w:r>
    </w:p>
    <w:p>
      <w:pPr>
        <w:autoSpaceDE w:val="0"/>
        <w:adjustRightInd w:val="0"/>
        <w:snapToGrid w:val="0"/>
        <w:spacing w:line="360" w:lineRule="auto"/>
        <w:ind w:left="958"/>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报表数据展现区：对集市加工的数据进行抽取展现，可对集市中不同层的数据进行需求展现。 </w:t>
      </w:r>
    </w:p>
    <w:p>
      <w:pPr>
        <w:autoSpaceDE w:val="0"/>
        <w:adjustRightInd w:val="0"/>
        <w:snapToGrid w:val="0"/>
        <w:spacing w:line="360" w:lineRule="auto"/>
        <w:ind w:left="958"/>
        <w:jc w:val="left"/>
        <w:rPr>
          <w:rFonts w:ascii="仿宋" w:hAnsi="仿宋" w:eastAsia="仿宋"/>
          <w:color w:val="000000" w:themeColor="text1"/>
          <w:sz w:val="28"/>
          <w:szCs w:val="28"/>
          <w:highlight w:val="none"/>
          <w14:textFill>
            <w14:solidFill>
              <w14:schemeClr w14:val="tx1"/>
            </w14:solidFill>
          </w14:textFill>
        </w:rPr>
      </w:pPr>
    </w:p>
    <w:p>
      <w:pPr>
        <w:pStyle w:val="31"/>
        <w:spacing w:line="360" w:lineRule="auto"/>
        <w:ind w:firstLine="560" w:firstLineChars="20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系统数据集市ETL处理要求使用重庆银行提供的</w:t>
      </w:r>
      <w:r>
        <w:rPr>
          <w:rFonts w:ascii="仿宋" w:hAnsi="仿宋" w:eastAsia="仿宋"/>
          <w:iCs/>
          <w:color w:val="000000" w:themeColor="text1"/>
          <w:sz w:val="28"/>
          <w:szCs w:val="28"/>
          <w:highlight w:val="none"/>
          <w14:textFill>
            <w14:solidFill>
              <w14:schemeClr w14:val="tx1"/>
            </w14:solidFill>
          </w14:textFill>
        </w:rPr>
        <w:t>Datastage及其监控软件</w:t>
      </w:r>
      <w:r>
        <w:rPr>
          <w:rFonts w:hint="eastAsia" w:ascii="仿宋" w:hAnsi="仿宋" w:eastAsia="仿宋"/>
          <w:iCs/>
          <w:color w:val="000000" w:themeColor="text1"/>
          <w:sz w:val="28"/>
          <w:szCs w:val="28"/>
          <w:highlight w:val="none"/>
          <w14:textFill>
            <w14:solidFill>
              <w14:schemeClr w14:val="tx1"/>
            </w14:solidFill>
          </w14:textFill>
        </w:rPr>
        <w:t>。</w:t>
      </w:r>
    </w:p>
    <w:p>
      <w:pPr>
        <w:pStyle w:val="31"/>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object>
          <v:shape id="_x0000_i1025" o:spt="75" type="#_x0000_t75" style="height:187.2pt;width:402.65pt;" o:ole="t" filled="f" o:preferrelative="t" stroked="f" coordsize="21600,21600">
            <v:path/>
            <v:fill on="f" focussize="0,0"/>
            <v:stroke on="f" joinstyle="miter"/>
            <v:imagedata r:id="rId19" o:title=""/>
            <o:lock v:ext="edit" aspectratio="t"/>
            <w10:wrap type="none"/>
            <w10:anchorlock/>
          </v:shape>
          <o:OLEObject Type="Embed" ProgID="Visio.Drawing.11" ShapeID="_x0000_i1025" DrawAspect="Content" ObjectID="_1468075725" r:id="rId18">
            <o:LockedField>false</o:LockedField>
          </o:OLEObject>
        </w:objec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系统从抽取源数据进行ETL加工以满足各项统计功能需要</w:t>
      </w:r>
      <w:r>
        <w:rPr>
          <w:rFonts w:hint="eastAsia" w:ascii="仿宋" w:hAnsi="仿宋" w:eastAsia="仿宋"/>
          <w:color w:val="000000" w:themeColor="text1"/>
          <w:sz w:val="28"/>
          <w:szCs w:val="28"/>
          <w:highlight w:val="none"/>
          <w14:textFill>
            <w14:solidFill>
              <w14:schemeClr w14:val="tx1"/>
            </w14:solidFill>
          </w14:textFill>
        </w:rPr>
        <w:t>。</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系统</w:t>
      </w:r>
      <w:r>
        <w:rPr>
          <w:rFonts w:ascii="仿宋" w:hAnsi="仿宋" w:eastAsia="仿宋"/>
          <w:iCs/>
          <w:color w:val="000000" w:themeColor="text1"/>
          <w:sz w:val="28"/>
          <w:szCs w:val="28"/>
          <w:highlight w:val="none"/>
          <w14:textFill>
            <w14:solidFill>
              <w14:schemeClr w14:val="tx1"/>
            </w14:solidFill>
          </w14:textFill>
        </w:rPr>
        <w:t>源数据</w:t>
      </w:r>
      <w:r>
        <w:rPr>
          <w:rFonts w:hint="eastAsia" w:ascii="仿宋" w:hAnsi="仿宋" w:eastAsia="仿宋"/>
          <w:iCs/>
          <w:color w:val="000000" w:themeColor="text1"/>
          <w:sz w:val="28"/>
          <w:szCs w:val="28"/>
          <w:highlight w:val="none"/>
          <w14:textFill>
            <w14:solidFill>
              <w14:schemeClr w14:val="tx1"/>
            </w14:solidFill>
          </w14:textFill>
        </w:rPr>
        <w:t>主要来自</w:t>
      </w:r>
      <w:r>
        <w:rPr>
          <w:rFonts w:ascii="仿宋" w:hAnsi="仿宋" w:eastAsia="仿宋"/>
          <w:iCs/>
          <w:color w:val="000000" w:themeColor="text1"/>
          <w:sz w:val="28"/>
          <w:szCs w:val="28"/>
          <w:highlight w:val="none"/>
          <w14:textFill>
            <w14:solidFill>
              <w14:schemeClr w14:val="tx1"/>
            </w14:solidFill>
          </w14:textFill>
        </w:rPr>
        <w:t>于</w:t>
      </w:r>
      <w:r>
        <w:rPr>
          <w:rFonts w:hint="eastAsia" w:ascii="仿宋" w:hAnsi="仿宋" w:eastAsia="仿宋"/>
          <w:iCs/>
          <w:color w:val="000000" w:themeColor="text1"/>
          <w:sz w:val="28"/>
          <w:szCs w:val="28"/>
          <w:highlight w:val="none"/>
          <w14:textFill>
            <w14:solidFill>
              <w14:schemeClr w14:val="tx1"/>
            </w14:solidFill>
          </w14:textFill>
        </w:rPr>
        <w:t>核心、信贷、财务系统。这三种数据中任一项准备就绪后，即开始进行仅需要该项数据的后续ETL处理。需要多项数据的后续ETL等待所需项目的所有源数据都准备就绪后再进行处理。</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数据经ETL加工后进入监管数据集市。集市分为三层体系架构，包括：基础数据层、汇总数据层、指标数据层。</w:t>
      </w:r>
    </w:p>
    <w:p>
      <w:pPr>
        <w:spacing w:line="360" w:lineRule="auto"/>
        <w:ind w:left="78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drawing>
          <wp:inline distT="0" distB="0" distL="114300" distR="114300">
            <wp:extent cx="5539740" cy="1830070"/>
            <wp:effectExtent l="0" t="0" r="381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5539740" cy="1830070"/>
                    </a:xfrm>
                    <a:prstGeom prst="rect">
                      <a:avLst/>
                    </a:prstGeom>
                    <a:noFill/>
                    <a:ln w="9525">
                      <a:noFill/>
                    </a:ln>
                  </pic:spPr>
                </pic:pic>
              </a:graphicData>
            </a:graphic>
          </wp:inline>
        </w:drawing>
      </w:r>
    </w:p>
    <w:p>
      <w:pPr>
        <w:pStyle w:val="297"/>
        <w:numPr>
          <w:ilvl w:val="0"/>
          <w:numId w:val="20"/>
        </w:numPr>
        <w:ind w:firstLineChars="0"/>
        <w:jc w:val="both"/>
        <w:rPr>
          <w:rFonts w:ascii="仿宋" w:hAnsi="仿宋" w:eastAsia="仿宋"/>
          <w:b/>
          <w:color w:val="000000" w:themeColor="text1"/>
          <w:sz w:val="28"/>
          <w:szCs w:val="28"/>
          <w:highlight w:val="none"/>
          <w:lang w:bidi="en-US"/>
          <w14:textFill>
            <w14:solidFill>
              <w14:schemeClr w14:val="tx1"/>
            </w14:solidFill>
          </w14:textFill>
        </w:rPr>
      </w:pPr>
      <w:r>
        <w:rPr>
          <w:rFonts w:hint="eastAsia" w:ascii="仿宋" w:hAnsi="仿宋" w:eastAsia="仿宋"/>
          <w:b/>
          <w:color w:val="000000" w:themeColor="text1"/>
          <w:sz w:val="28"/>
          <w:szCs w:val="28"/>
          <w:highlight w:val="none"/>
          <w:lang w:bidi="en-US"/>
          <w14:textFill>
            <w14:solidFill>
              <w14:schemeClr w14:val="tx1"/>
            </w14:solidFill>
          </w14:textFill>
        </w:rPr>
        <w:t>基础数据层</w:t>
      </w:r>
    </w:p>
    <w:p>
      <w:pPr>
        <w:spacing w:line="360" w:lineRule="auto"/>
        <w:ind w:firstLine="420"/>
        <w:rPr>
          <w:rFonts w:ascii="仿宋" w:hAnsi="仿宋" w:eastAsia="仿宋"/>
          <w:color w:val="000000" w:themeColor="text1"/>
          <w:sz w:val="28"/>
          <w:szCs w:val="28"/>
          <w:highlight w:val="none"/>
          <w:lang w:bidi="en-US"/>
          <w14:textFill>
            <w14:solidFill>
              <w14:schemeClr w14:val="tx1"/>
            </w14:solidFill>
          </w14:textFill>
        </w:rPr>
      </w:pPr>
      <w:r>
        <w:rPr>
          <w:rFonts w:hint="eastAsia" w:ascii="仿宋" w:hAnsi="仿宋" w:eastAsia="仿宋"/>
          <w:color w:val="000000" w:themeColor="text1"/>
          <w:sz w:val="28"/>
          <w:szCs w:val="28"/>
          <w:highlight w:val="none"/>
          <w:lang w:bidi="en-US"/>
          <w14:textFill>
            <w14:solidFill>
              <w14:schemeClr w14:val="tx1"/>
            </w14:solidFill>
          </w14:textFill>
        </w:rPr>
        <w:t>将行内的源数据按一定主题划分，形成类似数据集市的各个主题分类数据，包括：客户类信息、产品类信息、事件类信息、账户类信息、财务流水类信息、其他类信息等等主题，统计管理行内数据。</w:t>
      </w:r>
    </w:p>
    <w:p>
      <w:pPr>
        <w:pStyle w:val="297"/>
        <w:numPr>
          <w:ilvl w:val="0"/>
          <w:numId w:val="20"/>
        </w:numPr>
        <w:ind w:firstLineChars="0"/>
        <w:jc w:val="both"/>
        <w:rPr>
          <w:rFonts w:ascii="仿宋" w:hAnsi="仿宋" w:eastAsia="仿宋"/>
          <w:b/>
          <w:color w:val="000000" w:themeColor="text1"/>
          <w:sz w:val="28"/>
          <w:szCs w:val="28"/>
          <w:highlight w:val="none"/>
          <w:lang w:bidi="en-US"/>
          <w14:textFill>
            <w14:solidFill>
              <w14:schemeClr w14:val="tx1"/>
            </w14:solidFill>
          </w14:textFill>
        </w:rPr>
      </w:pPr>
      <w:r>
        <w:rPr>
          <w:rFonts w:hint="eastAsia" w:ascii="仿宋" w:hAnsi="仿宋" w:eastAsia="仿宋"/>
          <w:b/>
          <w:color w:val="000000" w:themeColor="text1"/>
          <w:sz w:val="28"/>
          <w:szCs w:val="28"/>
          <w:highlight w:val="none"/>
          <w:lang w:bidi="en-US"/>
          <w14:textFill>
            <w14:solidFill>
              <w14:schemeClr w14:val="tx1"/>
            </w14:solidFill>
          </w14:textFill>
        </w:rPr>
        <w:t>汇总数据层</w:t>
      </w:r>
    </w:p>
    <w:p>
      <w:pPr>
        <w:spacing w:line="360" w:lineRule="auto"/>
        <w:ind w:firstLine="420"/>
        <w:rPr>
          <w:rFonts w:ascii="仿宋" w:hAnsi="仿宋" w:eastAsia="仿宋"/>
          <w:color w:val="000000" w:themeColor="text1"/>
          <w:sz w:val="28"/>
          <w:szCs w:val="28"/>
          <w:highlight w:val="none"/>
          <w:lang w:bidi="en-US"/>
          <w14:textFill>
            <w14:solidFill>
              <w14:schemeClr w14:val="tx1"/>
            </w14:solidFill>
          </w14:textFill>
        </w:rPr>
      </w:pPr>
      <w:r>
        <w:rPr>
          <w:rFonts w:hint="eastAsia" w:ascii="仿宋" w:hAnsi="仿宋" w:eastAsia="仿宋"/>
          <w:color w:val="000000" w:themeColor="text1"/>
          <w:sz w:val="28"/>
          <w:szCs w:val="28"/>
          <w:highlight w:val="none"/>
          <w:lang w:bidi="en-US"/>
          <w14:textFill>
            <w14:solidFill>
              <w14:schemeClr w14:val="tx1"/>
            </w14:solidFill>
          </w14:textFill>
        </w:rPr>
        <w:t>将行内需求的数据按不同维度进行划分，便于行内不同角度的多维统计和应用。</w:t>
      </w:r>
    </w:p>
    <w:p>
      <w:pPr>
        <w:pStyle w:val="297"/>
        <w:numPr>
          <w:ilvl w:val="0"/>
          <w:numId w:val="20"/>
        </w:numPr>
        <w:ind w:firstLineChars="0"/>
        <w:jc w:val="both"/>
        <w:rPr>
          <w:rFonts w:ascii="仿宋" w:hAnsi="仿宋" w:eastAsia="仿宋"/>
          <w:b/>
          <w:color w:val="000000" w:themeColor="text1"/>
          <w:sz w:val="28"/>
          <w:szCs w:val="28"/>
          <w:highlight w:val="none"/>
          <w:lang w:bidi="en-US"/>
          <w14:textFill>
            <w14:solidFill>
              <w14:schemeClr w14:val="tx1"/>
            </w14:solidFill>
          </w14:textFill>
        </w:rPr>
      </w:pPr>
      <w:r>
        <w:rPr>
          <w:rFonts w:hint="eastAsia" w:ascii="仿宋" w:hAnsi="仿宋" w:eastAsia="仿宋"/>
          <w:b/>
          <w:color w:val="000000" w:themeColor="text1"/>
          <w:sz w:val="28"/>
          <w:szCs w:val="28"/>
          <w:highlight w:val="none"/>
          <w:lang w:bidi="en-US"/>
          <w14:textFill>
            <w14:solidFill>
              <w14:schemeClr w14:val="tx1"/>
            </w14:solidFill>
          </w14:textFill>
        </w:rPr>
        <w:t>指标数据层</w:t>
      </w:r>
    </w:p>
    <w:p>
      <w:pPr>
        <w:spacing w:line="360" w:lineRule="auto"/>
        <w:ind w:firstLine="420"/>
        <w:rPr>
          <w:rFonts w:ascii="仿宋" w:hAnsi="仿宋" w:eastAsia="仿宋"/>
          <w:color w:val="000000" w:themeColor="text1"/>
          <w:sz w:val="28"/>
          <w:szCs w:val="28"/>
          <w:highlight w:val="none"/>
          <w:lang w:bidi="en-US"/>
          <w14:textFill>
            <w14:solidFill>
              <w14:schemeClr w14:val="tx1"/>
            </w14:solidFill>
          </w14:textFill>
        </w:rPr>
      </w:pPr>
      <w:r>
        <w:rPr>
          <w:rFonts w:hint="eastAsia" w:ascii="仿宋" w:hAnsi="仿宋" w:eastAsia="仿宋"/>
          <w:color w:val="000000" w:themeColor="text1"/>
          <w:sz w:val="28"/>
          <w:szCs w:val="28"/>
          <w:highlight w:val="none"/>
          <w:lang w:bidi="en-US"/>
          <w14:textFill>
            <w14:solidFill>
              <w14:schemeClr w14:val="tx1"/>
            </w14:solidFill>
          </w14:textFill>
        </w:rPr>
        <w:t>对汇总层的数据按一定规则进行运算、汇总，形成行内需求的基础业务指标，业务指标将按行内业务部门的实际需求进行生成。</w:t>
      </w:r>
    </w:p>
    <w:p>
      <w:pPr>
        <w:spacing w:line="360" w:lineRule="auto"/>
        <w:ind w:firstLine="420"/>
        <w:rPr>
          <w:rFonts w:ascii="仿宋" w:hAnsi="仿宋" w:eastAsia="仿宋"/>
          <w:color w:val="000000" w:themeColor="text1"/>
          <w:sz w:val="28"/>
          <w:szCs w:val="28"/>
          <w:highlight w:val="none"/>
          <w:lang w:bidi="en-US"/>
          <w14:textFill>
            <w14:solidFill>
              <w14:schemeClr w14:val="tx1"/>
            </w14:solidFill>
          </w14:textFill>
        </w:rPr>
      </w:pP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监管数据集市的数据在涵盖功能需求中所有报表需要的数据的基础上，以监管类报送数据全覆盖(兼容人行金融标准化、银监会EAST等监管要求)为目标建立尽量完整的数据模型，并开放数据模型，使用户能在原有数据模型基础上增加、删除、修改我行需要的个性化数据模型。提供数据模型管理界面、元数据管理功能及相关字典。</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利用我行现有的ETL服务器完成对综合统计系统的批量供数，并通过我行ETL调度工具开发完成调度和控制批量处理流程。</w:t>
      </w:r>
    </w:p>
    <w:p>
      <w:pPr>
        <w:pStyle w:val="31"/>
        <w:tabs>
          <w:tab w:val="left" w:pos="1080"/>
        </w:tabs>
        <w:spacing w:line="360" w:lineRule="auto"/>
        <w:ind w:left="780" w:leftChars="0"/>
        <w:rPr>
          <w:rFonts w:ascii="仿宋" w:hAnsi="仿宋" w:eastAsia="仿宋"/>
          <w:iCs/>
          <w:color w:val="000000" w:themeColor="text1"/>
          <w:sz w:val="28"/>
          <w:szCs w:val="28"/>
          <w:highlight w:val="none"/>
          <w14:textFill>
            <w14:solidFill>
              <w14:schemeClr w14:val="tx1"/>
            </w14:solidFill>
          </w14:textFill>
        </w:rPr>
      </w:pPr>
    </w:p>
    <w:p>
      <w:pPr>
        <w:pStyle w:val="4"/>
        <w:numPr>
          <w:ilvl w:val="2"/>
          <w:numId w:val="18"/>
        </w:numPr>
        <w:tabs>
          <w:tab w:val="left" w:pos="180"/>
          <w:tab w:val="clear" w:pos="1294"/>
          <w:tab w:val="clear" w:pos="1418"/>
        </w:tabs>
        <w:ind w:left="540" w:hanging="36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其他技术</w:t>
      </w:r>
      <w:r>
        <w:rPr>
          <w:rFonts w:hint="eastAsia" w:ascii="仿宋" w:hAnsi="仿宋" w:eastAsia="仿宋"/>
          <w:color w:val="000000" w:themeColor="text1"/>
          <w:sz w:val="28"/>
          <w:szCs w:val="28"/>
          <w:highlight w:val="none"/>
          <w14:textFill>
            <w14:solidFill>
              <w14:schemeClr w14:val="tx1"/>
            </w14:solidFill>
          </w14:textFill>
        </w:rPr>
        <w:t>要求</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具有灵活定制报表的报表设计工具，能便捷的进行包括表样设计、数据取数规则定义、报表校验关系定义、报表汇总关系定义、表间取数关系定义、报表备份恢复、报表变更等报表设计功能。该工具能较好支持微软Excel(2013版，并向下兼容)，能导入或导出Excel格式的报表表样及公式。该工具必需支持64位操作系统。</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该系统根据我行现状和监管要求建立统计需要的数据集市，数据标准参考我行已制定的数据标准。</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该系统能够按机构和报表类别管理报表的权限，能通过日志记录用户的各项操作，并在管理界面对日志进行查询、导出和清理。</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该系统能够灵活自定义各种报表内的指标，提供对指标新增、修改、删除等管理功能，满足我行自定义报表及分析的需要。</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该系统能够灵活方便的定义报表运行批次，具有手动运行和自动（如定时运行、见标志运行等）运行报表批量处理的功能，并能监控报表批量处理的完成情况。</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满足7*24小时不间断运行。支持100个用户并发访问。</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系统月度批处理时间(除开源数据入库时间)应在3小时以内。</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J2EE架构，支持64位</w:t>
      </w:r>
      <w:r>
        <w:rPr>
          <w:rFonts w:ascii="仿宋" w:hAnsi="仿宋" w:eastAsia="仿宋"/>
          <w:iCs/>
          <w:color w:val="000000" w:themeColor="text1"/>
          <w:sz w:val="28"/>
          <w:szCs w:val="28"/>
          <w:highlight w:val="none"/>
          <w14:textFill>
            <w14:solidFill>
              <w14:schemeClr w14:val="tx1"/>
            </w14:solidFill>
          </w14:textFill>
        </w:rPr>
        <w:t>Oracle数据库</w:t>
      </w:r>
      <w:r>
        <w:rPr>
          <w:rFonts w:hint="eastAsia" w:ascii="仿宋" w:hAnsi="仿宋" w:eastAsia="仿宋"/>
          <w:iCs/>
          <w:color w:val="000000" w:themeColor="text1"/>
          <w:sz w:val="28"/>
          <w:szCs w:val="28"/>
          <w:highlight w:val="none"/>
          <w14:textFill>
            <w14:solidFill>
              <w14:schemeClr w14:val="tx1"/>
            </w14:solidFill>
          </w14:textFill>
        </w:rPr>
        <w:t>及64位操作系统。</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ascii="仿宋" w:hAnsi="仿宋" w:eastAsia="仿宋"/>
          <w:iCs/>
          <w:color w:val="000000" w:themeColor="text1"/>
          <w:sz w:val="28"/>
          <w:szCs w:val="28"/>
          <w:highlight w:val="none"/>
          <w14:textFill>
            <w14:solidFill>
              <w14:schemeClr w14:val="tx1"/>
            </w14:solidFill>
          </w14:textFill>
        </w:rPr>
        <w:t>支持</w:t>
      </w:r>
      <w:r>
        <w:rPr>
          <w:rFonts w:hint="eastAsia" w:ascii="仿宋" w:hAnsi="仿宋" w:eastAsia="仿宋"/>
          <w:iCs/>
          <w:color w:val="000000" w:themeColor="text1"/>
          <w:sz w:val="28"/>
          <w:szCs w:val="28"/>
          <w:highlight w:val="none"/>
          <w14:textFill>
            <w14:solidFill>
              <w14:schemeClr w14:val="tx1"/>
            </w14:solidFill>
          </w14:textFill>
        </w:rPr>
        <w:t>Excel、PDF等文档格式下载报表，满足按人行和银监会要求的报表格式导出报表，或通过数据接口上报数据</w:t>
      </w:r>
      <w:r>
        <w:rPr>
          <w:rFonts w:ascii="仿宋" w:hAnsi="仿宋" w:eastAsia="仿宋"/>
          <w:iCs/>
          <w:color w:val="000000" w:themeColor="text1"/>
          <w:sz w:val="28"/>
          <w:szCs w:val="28"/>
          <w:highlight w:val="none"/>
          <w14:textFill>
            <w14:solidFill>
              <w14:schemeClr w14:val="tx1"/>
            </w14:solidFill>
          </w14:textFill>
        </w:rPr>
        <w:t>。</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该</w:t>
      </w:r>
      <w:r>
        <w:rPr>
          <w:rFonts w:ascii="仿宋" w:hAnsi="仿宋" w:eastAsia="仿宋"/>
          <w:iCs/>
          <w:color w:val="000000" w:themeColor="text1"/>
          <w:sz w:val="28"/>
          <w:szCs w:val="28"/>
          <w:highlight w:val="none"/>
          <w14:textFill>
            <w14:solidFill>
              <w14:schemeClr w14:val="tx1"/>
            </w14:solidFill>
          </w14:textFill>
        </w:rPr>
        <w:t>系统应支持Windows</w:t>
      </w:r>
      <w:r>
        <w:rPr>
          <w:rFonts w:hint="eastAsia" w:ascii="仿宋" w:hAnsi="仿宋" w:eastAsia="仿宋"/>
          <w:iCs/>
          <w:color w:val="000000" w:themeColor="text1"/>
          <w:sz w:val="28"/>
          <w:szCs w:val="28"/>
          <w:highlight w:val="none"/>
          <w14:textFill>
            <w14:solidFill>
              <w14:schemeClr w14:val="tx1"/>
            </w14:solidFill>
          </w14:textFill>
        </w:rPr>
        <w:t>10</w:t>
      </w:r>
      <w:r>
        <w:rPr>
          <w:rFonts w:ascii="仿宋" w:hAnsi="仿宋" w:eastAsia="仿宋"/>
          <w:iCs/>
          <w:color w:val="000000" w:themeColor="text1"/>
          <w:sz w:val="28"/>
          <w:szCs w:val="28"/>
          <w:highlight w:val="none"/>
          <w14:textFill>
            <w14:solidFill>
              <w14:schemeClr w14:val="tx1"/>
            </w14:solidFill>
          </w14:textFill>
        </w:rPr>
        <w:t>、Office201</w:t>
      </w:r>
      <w:r>
        <w:rPr>
          <w:rFonts w:hint="eastAsia" w:ascii="仿宋" w:hAnsi="仿宋" w:eastAsia="仿宋"/>
          <w:iCs/>
          <w:color w:val="000000" w:themeColor="text1"/>
          <w:sz w:val="28"/>
          <w:szCs w:val="28"/>
          <w:highlight w:val="none"/>
          <w14:textFill>
            <w14:solidFill>
              <w14:schemeClr w14:val="tx1"/>
            </w14:solidFill>
          </w14:textFill>
        </w:rPr>
        <w:t>3</w:t>
      </w:r>
      <w:r>
        <w:rPr>
          <w:rFonts w:ascii="仿宋" w:hAnsi="仿宋" w:eastAsia="仿宋"/>
          <w:iCs/>
          <w:color w:val="000000" w:themeColor="text1"/>
          <w:sz w:val="28"/>
          <w:szCs w:val="28"/>
          <w:highlight w:val="none"/>
          <w14:textFill>
            <w14:solidFill>
              <w14:schemeClr w14:val="tx1"/>
            </w14:solidFill>
          </w14:textFill>
        </w:rPr>
        <w:t>、IE</w:t>
      </w:r>
      <w:r>
        <w:rPr>
          <w:rFonts w:hint="eastAsia" w:ascii="仿宋" w:hAnsi="仿宋" w:eastAsia="仿宋"/>
          <w:iCs/>
          <w:color w:val="000000" w:themeColor="text1"/>
          <w:sz w:val="28"/>
          <w:szCs w:val="28"/>
          <w:highlight w:val="none"/>
          <w14:textFill>
            <w14:solidFill>
              <w14:schemeClr w14:val="tx1"/>
            </w14:solidFill>
          </w14:textFill>
        </w:rPr>
        <w:t>11</w:t>
      </w:r>
      <w:r>
        <w:rPr>
          <w:rFonts w:ascii="仿宋" w:hAnsi="仿宋" w:eastAsia="仿宋"/>
          <w:iCs/>
          <w:color w:val="000000" w:themeColor="text1"/>
          <w:sz w:val="28"/>
          <w:szCs w:val="28"/>
          <w:highlight w:val="none"/>
          <w14:textFill>
            <w14:solidFill>
              <w14:schemeClr w14:val="tx1"/>
            </w14:solidFill>
          </w14:textFill>
        </w:rPr>
        <w:t>平台</w:t>
      </w:r>
      <w:r>
        <w:rPr>
          <w:rFonts w:hint="eastAsia" w:ascii="仿宋" w:hAnsi="仿宋" w:eastAsia="仿宋"/>
          <w:iCs/>
          <w:color w:val="000000" w:themeColor="text1"/>
          <w:sz w:val="28"/>
          <w:szCs w:val="28"/>
          <w:highlight w:val="none"/>
          <w14:textFill>
            <w14:solidFill>
              <w14:schemeClr w14:val="tx1"/>
            </w14:solidFill>
          </w14:textFill>
        </w:rPr>
        <w:t>下的客户访问</w:t>
      </w:r>
      <w:r>
        <w:rPr>
          <w:rFonts w:ascii="仿宋" w:hAnsi="仿宋" w:eastAsia="仿宋"/>
          <w:iCs/>
          <w:color w:val="000000" w:themeColor="text1"/>
          <w:sz w:val="28"/>
          <w:szCs w:val="28"/>
          <w:highlight w:val="none"/>
          <w14:textFill>
            <w14:solidFill>
              <w14:schemeClr w14:val="tx1"/>
            </w14:solidFill>
          </w14:textFill>
        </w:rPr>
        <w:t>，同时向下兼容。</w:t>
      </w:r>
    </w:p>
    <w:p>
      <w:pPr>
        <w:pStyle w:val="31"/>
        <w:numPr>
          <w:ilvl w:val="0"/>
          <w:numId w:val="19"/>
        </w:numPr>
        <w:tabs>
          <w:tab w:val="left" w:pos="1080"/>
        </w:tabs>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ascii="仿宋" w:hAnsi="仿宋" w:eastAsia="仿宋"/>
          <w:iCs/>
          <w:color w:val="000000" w:themeColor="text1"/>
          <w:sz w:val="28"/>
          <w:szCs w:val="28"/>
          <w:highlight w:val="none"/>
          <w14:textFill>
            <w14:solidFill>
              <w14:schemeClr w14:val="tx1"/>
            </w14:solidFill>
          </w14:textFill>
        </w:rPr>
        <w:t>可视化运维监控，包括对应用系统、</w:t>
      </w:r>
      <w:r>
        <w:rPr>
          <w:rFonts w:hint="eastAsia" w:ascii="仿宋" w:hAnsi="仿宋" w:eastAsia="仿宋"/>
          <w:iCs/>
          <w:color w:val="000000" w:themeColor="text1"/>
          <w:sz w:val="28"/>
          <w:szCs w:val="28"/>
          <w:highlight w:val="none"/>
          <w14:textFill>
            <w14:solidFill>
              <w14:schemeClr w14:val="tx1"/>
            </w14:solidFill>
          </w14:textFill>
        </w:rPr>
        <w:t>ETL流程、报表批量处理等</w:t>
      </w:r>
      <w:r>
        <w:rPr>
          <w:rFonts w:ascii="仿宋" w:hAnsi="仿宋" w:eastAsia="仿宋"/>
          <w:iCs/>
          <w:color w:val="000000" w:themeColor="text1"/>
          <w:sz w:val="28"/>
          <w:szCs w:val="28"/>
          <w:highlight w:val="none"/>
          <w14:textFill>
            <w14:solidFill>
              <w14:schemeClr w14:val="tx1"/>
            </w14:solidFill>
          </w14:textFill>
        </w:rPr>
        <w:t>的各种状态的监控,减轻系统维护人员和监控人员工作量。</w:t>
      </w:r>
    </w:p>
    <w:p>
      <w:pPr>
        <w:pStyle w:val="31"/>
        <w:tabs>
          <w:tab w:val="left" w:pos="1080"/>
        </w:tabs>
        <w:spacing w:line="360" w:lineRule="auto"/>
        <w:ind w:left="360" w:leftChars="0"/>
        <w:rPr>
          <w:rFonts w:ascii="仿宋" w:hAnsi="仿宋" w:eastAsia="仿宋"/>
          <w:iCs/>
          <w:color w:val="000000" w:themeColor="text1"/>
          <w:sz w:val="28"/>
          <w:szCs w:val="28"/>
          <w:highlight w:val="none"/>
          <w14:textFill>
            <w14:solidFill>
              <w14:schemeClr w14:val="tx1"/>
            </w14:solidFill>
          </w14:textFill>
        </w:rPr>
      </w:pPr>
    </w:p>
    <w:p>
      <w:pPr>
        <w:pStyle w:val="3"/>
        <w:numPr>
          <w:ilvl w:val="1"/>
          <w:numId w:val="17"/>
        </w:numPr>
        <w:tabs>
          <w:tab w:val="clear" w:pos="708"/>
        </w:tabs>
        <w:rPr>
          <w:rFonts w:ascii="仿宋" w:hAnsi="仿宋" w:eastAsia="仿宋"/>
          <w:color w:val="000000" w:themeColor="text1"/>
          <w:szCs w:val="28"/>
          <w:highlight w:val="none"/>
          <w14:textFill>
            <w14:solidFill>
              <w14:schemeClr w14:val="tx1"/>
            </w14:solidFill>
          </w14:textFill>
        </w:rPr>
      </w:pPr>
      <w:r>
        <w:rPr>
          <w:rFonts w:ascii="仿宋" w:hAnsi="仿宋" w:eastAsia="仿宋"/>
          <w:color w:val="000000" w:themeColor="text1"/>
          <w:szCs w:val="28"/>
          <w:highlight w:val="none"/>
          <w14:textFill>
            <w14:solidFill>
              <w14:schemeClr w14:val="tx1"/>
            </w14:solidFill>
          </w14:textFill>
        </w:rPr>
        <w:t>部署方式</w:t>
      </w:r>
    </w:p>
    <w:p>
      <w:pPr>
        <w:rPr>
          <w:rFonts w:ascii="仿宋" w:hAnsi="仿宋" w:eastAsia="仿宋"/>
          <w:color w:val="000000" w:themeColor="text1"/>
          <w:highlight w:val="none"/>
          <w14:textFill>
            <w14:solidFill>
              <w14:schemeClr w14:val="tx1"/>
            </w14:solidFill>
          </w14:textFill>
        </w:rPr>
      </w:pPr>
    </w:p>
    <w:p>
      <w:pPr>
        <w:pStyle w:val="31"/>
        <w:numPr>
          <w:ilvl w:val="2"/>
          <w:numId w:val="17"/>
        </w:numPr>
        <w:tabs>
          <w:tab w:val="left" w:pos="720"/>
          <w:tab w:val="clear" w:pos="1260"/>
        </w:tabs>
        <w:spacing w:line="360" w:lineRule="auto"/>
        <w:ind w:leftChars="0" w:hanging="90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系统稳定性要求</w:t>
      </w:r>
    </w:p>
    <w:p>
      <w:pPr>
        <w:pStyle w:val="31"/>
        <w:spacing w:line="360" w:lineRule="auto"/>
        <w:ind w:left="0" w:leftChars="0" w:firstLine="560" w:firstLineChars="200"/>
        <w:rPr>
          <w:rFonts w:ascii="仿宋" w:hAnsi="仿宋" w:eastAsia="仿宋"/>
          <w:iCs/>
          <w:color w:val="000000" w:themeColor="text1"/>
          <w:sz w:val="28"/>
          <w:szCs w:val="28"/>
          <w:highlight w:val="none"/>
          <w14:textFill>
            <w14:solidFill>
              <w14:schemeClr w14:val="tx1"/>
            </w14:solidFill>
          </w14:textFill>
        </w:rPr>
      </w:pPr>
      <w:r>
        <w:rPr>
          <w:rFonts w:ascii="仿宋" w:hAnsi="仿宋" w:eastAsia="仿宋"/>
          <w:iCs/>
          <w:color w:val="000000" w:themeColor="text1"/>
          <w:sz w:val="28"/>
          <w:szCs w:val="28"/>
          <w:highlight w:val="none"/>
          <w14:textFill>
            <w14:solidFill>
              <w14:schemeClr w14:val="tx1"/>
            </w14:solidFill>
          </w14:textFill>
        </w:rPr>
        <w:t>采用双机互备方式部署，网络设备和通信链路冗余，使系统各个运行环节均保证无单点故障；</w:t>
      </w:r>
    </w:p>
    <w:p>
      <w:pPr>
        <w:pStyle w:val="31"/>
        <w:numPr>
          <w:ilvl w:val="2"/>
          <w:numId w:val="17"/>
        </w:numPr>
        <w:tabs>
          <w:tab w:val="left" w:pos="720"/>
          <w:tab w:val="clear" w:pos="1260"/>
        </w:tabs>
        <w:spacing w:line="360" w:lineRule="auto"/>
        <w:ind w:leftChars="0" w:hanging="900"/>
        <w:rPr>
          <w:rFonts w:ascii="仿宋" w:hAnsi="仿宋" w:eastAsia="仿宋"/>
          <w:iCs/>
          <w:color w:val="000000" w:themeColor="text1"/>
          <w:sz w:val="28"/>
          <w:szCs w:val="28"/>
          <w:highlight w:val="none"/>
          <w14:textFill>
            <w14:solidFill>
              <w14:schemeClr w14:val="tx1"/>
            </w14:solidFill>
          </w14:textFill>
        </w:rPr>
      </w:pPr>
      <w:r>
        <w:rPr>
          <w:rFonts w:ascii="仿宋" w:hAnsi="仿宋" w:eastAsia="仿宋"/>
          <w:iCs/>
          <w:color w:val="000000" w:themeColor="text1"/>
          <w:sz w:val="28"/>
          <w:szCs w:val="28"/>
          <w:highlight w:val="none"/>
          <w14:textFill>
            <w14:solidFill>
              <w14:schemeClr w14:val="tx1"/>
            </w14:solidFill>
          </w14:textFill>
        </w:rPr>
        <w:t>可扩展性要求</w:t>
      </w:r>
    </w:p>
    <w:p>
      <w:pPr>
        <w:pStyle w:val="31"/>
        <w:spacing w:line="360" w:lineRule="auto"/>
        <w:ind w:left="0" w:leftChars="0" w:firstLine="560" w:firstLineChars="200"/>
        <w:rPr>
          <w:rFonts w:ascii="仿宋" w:hAnsi="仿宋" w:eastAsia="仿宋"/>
          <w:iCs/>
          <w:color w:val="000000" w:themeColor="text1"/>
          <w:sz w:val="28"/>
          <w:szCs w:val="28"/>
          <w:highlight w:val="none"/>
          <w14:textFill>
            <w14:solidFill>
              <w14:schemeClr w14:val="tx1"/>
            </w14:solidFill>
          </w14:textFill>
        </w:rPr>
      </w:pPr>
      <w:r>
        <w:rPr>
          <w:rFonts w:ascii="仿宋" w:hAnsi="仿宋" w:eastAsia="仿宋"/>
          <w:iCs/>
          <w:color w:val="000000" w:themeColor="text1"/>
          <w:sz w:val="28"/>
          <w:szCs w:val="28"/>
          <w:highlight w:val="none"/>
          <w14:textFill>
            <w14:solidFill>
              <w14:schemeClr w14:val="tx1"/>
            </w14:solidFill>
          </w14:textFill>
        </w:rPr>
        <w:t>在系统在线状态下，可通过扩充主机、CPU、磁盘、内存等硬件提高系统性能指标。</w:t>
      </w:r>
    </w:p>
    <w:p>
      <w:pPr>
        <w:pStyle w:val="3"/>
        <w:numPr>
          <w:ilvl w:val="1"/>
          <w:numId w:val="17"/>
        </w:numPr>
        <w:tabs>
          <w:tab w:val="clear" w:pos="708"/>
        </w:tabs>
        <w:rPr>
          <w:rFonts w:ascii="仿宋" w:hAnsi="仿宋" w:eastAsia="仿宋"/>
          <w:color w:val="000000" w:themeColor="text1"/>
          <w:szCs w:val="28"/>
          <w:highlight w:val="none"/>
          <w14:textFill>
            <w14:solidFill>
              <w14:schemeClr w14:val="tx1"/>
            </w14:solidFill>
          </w14:textFill>
        </w:rPr>
      </w:pPr>
      <w:bookmarkStart w:id="256" w:name="_Toc299530652"/>
      <w:r>
        <w:rPr>
          <w:rFonts w:ascii="仿宋" w:hAnsi="仿宋" w:eastAsia="仿宋"/>
          <w:color w:val="000000" w:themeColor="text1"/>
          <w:szCs w:val="28"/>
          <w:highlight w:val="none"/>
          <w14:textFill>
            <w14:solidFill>
              <w14:schemeClr w14:val="tx1"/>
            </w14:solidFill>
          </w14:textFill>
        </w:rPr>
        <w:t>运维要求</w:t>
      </w:r>
      <w:bookmarkEnd w:id="256"/>
    </w:p>
    <w:p>
      <w:pPr>
        <w:pStyle w:val="31"/>
        <w:numPr>
          <w:ilvl w:val="1"/>
          <w:numId w:val="21"/>
        </w:numPr>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ascii="仿宋" w:hAnsi="仿宋" w:eastAsia="仿宋"/>
          <w:iCs/>
          <w:color w:val="000000" w:themeColor="text1"/>
          <w:sz w:val="28"/>
          <w:szCs w:val="28"/>
          <w:highlight w:val="none"/>
          <w14:textFill>
            <w14:solidFill>
              <w14:schemeClr w14:val="tx1"/>
            </w14:solidFill>
          </w14:textFill>
        </w:rPr>
        <w:t>通过</w:t>
      </w:r>
      <w:r>
        <w:rPr>
          <w:rFonts w:hint="eastAsia" w:ascii="仿宋" w:hAnsi="仿宋" w:eastAsia="仿宋"/>
          <w:iCs/>
          <w:color w:val="000000" w:themeColor="text1"/>
          <w:sz w:val="28"/>
          <w:szCs w:val="28"/>
          <w:highlight w:val="none"/>
          <w14:textFill>
            <w14:solidFill>
              <w14:schemeClr w14:val="tx1"/>
            </w14:solidFill>
          </w14:textFill>
        </w:rPr>
        <w:t>调度系统(MOIA)</w:t>
      </w:r>
      <w:r>
        <w:rPr>
          <w:rFonts w:ascii="仿宋" w:hAnsi="仿宋" w:eastAsia="仿宋"/>
          <w:iCs/>
          <w:color w:val="000000" w:themeColor="text1"/>
          <w:sz w:val="28"/>
          <w:szCs w:val="28"/>
          <w:highlight w:val="none"/>
          <w14:textFill>
            <w14:solidFill>
              <w14:schemeClr w14:val="tx1"/>
            </w14:solidFill>
          </w14:textFill>
        </w:rPr>
        <w:t>界面</w:t>
      </w:r>
      <w:r>
        <w:rPr>
          <w:rFonts w:hint="eastAsia" w:ascii="仿宋" w:hAnsi="仿宋" w:eastAsia="仿宋"/>
          <w:iCs/>
          <w:color w:val="000000" w:themeColor="text1"/>
          <w:sz w:val="28"/>
          <w:szCs w:val="28"/>
          <w:highlight w:val="none"/>
          <w14:textFill>
            <w14:solidFill>
              <w14:schemeClr w14:val="tx1"/>
            </w14:solidFill>
          </w14:textFill>
        </w:rPr>
        <w:t>及报表平台的监控界面</w:t>
      </w:r>
      <w:r>
        <w:rPr>
          <w:rFonts w:ascii="仿宋" w:hAnsi="仿宋" w:eastAsia="仿宋"/>
          <w:iCs/>
          <w:color w:val="000000" w:themeColor="text1"/>
          <w:sz w:val="28"/>
          <w:szCs w:val="28"/>
          <w:highlight w:val="none"/>
          <w14:textFill>
            <w14:solidFill>
              <w14:schemeClr w14:val="tx1"/>
            </w14:solidFill>
          </w14:textFill>
        </w:rPr>
        <w:t>监控每日批量运行情况；</w:t>
      </w:r>
    </w:p>
    <w:p>
      <w:pPr>
        <w:pStyle w:val="31"/>
        <w:numPr>
          <w:ilvl w:val="1"/>
          <w:numId w:val="21"/>
        </w:numPr>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ascii="仿宋" w:hAnsi="仿宋" w:eastAsia="仿宋"/>
          <w:iCs/>
          <w:color w:val="000000" w:themeColor="text1"/>
          <w:sz w:val="28"/>
          <w:szCs w:val="28"/>
          <w:highlight w:val="none"/>
          <w14:textFill>
            <w14:solidFill>
              <w14:schemeClr w14:val="tx1"/>
            </w14:solidFill>
          </w14:textFill>
        </w:rPr>
        <w:t>定期监控应用服务器、ETL服务器和数据库磁盘空间使用情况；</w:t>
      </w:r>
    </w:p>
    <w:p>
      <w:pPr>
        <w:pStyle w:val="31"/>
        <w:numPr>
          <w:ilvl w:val="1"/>
          <w:numId w:val="21"/>
        </w:numPr>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ascii="仿宋" w:hAnsi="仿宋" w:eastAsia="仿宋"/>
          <w:iCs/>
          <w:color w:val="000000" w:themeColor="text1"/>
          <w:sz w:val="28"/>
          <w:szCs w:val="28"/>
          <w:highlight w:val="none"/>
          <w14:textFill>
            <w14:solidFill>
              <w14:schemeClr w14:val="tx1"/>
            </w14:solidFill>
          </w14:textFill>
        </w:rPr>
        <w:t>实时监控应用服务器CPU及IO使用情况；</w:t>
      </w:r>
    </w:p>
    <w:p>
      <w:pPr>
        <w:pStyle w:val="31"/>
        <w:numPr>
          <w:ilvl w:val="1"/>
          <w:numId w:val="21"/>
        </w:numPr>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ascii="仿宋" w:hAnsi="仿宋" w:eastAsia="仿宋"/>
          <w:iCs/>
          <w:color w:val="000000" w:themeColor="text1"/>
          <w:sz w:val="28"/>
          <w:szCs w:val="28"/>
          <w:highlight w:val="none"/>
          <w14:textFill>
            <w14:solidFill>
              <w14:schemeClr w14:val="tx1"/>
            </w14:solidFill>
          </w14:textFill>
        </w:rPr>
        <w:t>完备的运行日志。能对系统中各个</w:t>
      </w:r>
      <w:r>
        <w:rPr>
          <w:rFonts w:hint="eastAsia" w:ascii="仿宋" w:hAnsi="仿宋" w:eastAsia="仿宋"/>
          <w:iCs/>
          <w:color w:val="000000" w:themeColor="text1"/>
          <w:sz w:val="28"/>
          <w:szCs w:val="28"/>
          <w:highlight w:val="none"/>
          <w14:textFill>
            <w14:solidFill>
              <w14:schemeClr w14:val="tx1"/>
            </w14:solidFill>
          </w14:textFill>
        </w:rPr>
        <w:t>功能</w:t>
      </w:r>
      <w:r>
        <w:rPr>
          <w:rFonts w:ascii="仿宋" w:hAnsi="仿宋" w:eastAsia="仿宋"/>
          <w:iCs/>
          <w:color w:val="000000" w:themeColor="text1"/>
          <w:sz w:val="28"/>
          <w:szCs w:val="28"/>
          <w:highlight w:val="none"/>
          <w14:textFill>
            <w14:solidFill>
              <w14:schemeClr w14:val="tx1"/>
            </w14:solidFill>
          </w14:textFill>
        </w:rPr>
        <w:t>的进行监控，使操作员能同步了解运行进度，发现问题并进行干预；</w:t>
      </w:r>
    </w:p>
    <w:p>
      <w:pPr>
        <w:pStyle w:val="3"/>
        <w:numPr>
          <w:ilvl w:val="1"/>
          <w:numId w:val="17"/>
        </w:numPr>
        <w:tabs>
          <w:tab w:val="clear" w:pos="708"/>
        </w:tabs>
        <w:rPr>
          <w:rFonts w:ascii="仿宋" w:hAnsi="仿宋" w:eastAsia="仿宋"/>
          <w:color w:val="000000" w:themeColor="text1"/>
          <w:szCs w:val="28"/>
          <w:highlight w:val="none"/>
          <w14:textFill>
            <w14:solidFill>
              <w14:schemeClr w14:val="tx1"/>
            </w14:solidFill>
          </w14:textFill>
        </w:rPr>
      </w:pPr>
      <w:r>
        <w:rPr>
          <w:rFonts w:ascii="仿宋" w:hAnsi="仿宋" w:eastAsia="仿宋"/>
          <w:color w:val="000000" w:themeColor="text1"/>
          <w:szCs w:val="28"/>
          <w:highlight w:val="none"/>
          <w14:textFill>
            <w14:solidFill>
              <w14:schemeClr w14:val="tx1"/>
            </w14:solidFill>
          </w14:textFill>
        </w:rPr>
        <w:t>软硬件配置</w:t>
      </w:r>
    </w:p>
    <w:p>
      <w:pPr>
        <w:pStyle w:val="31"/>
        <w:numPr>
          <w:ilvl w:val="1"/>
          <w:numId w:val="21"/>
        </w:numPr>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ascii="仿宋" w:hAnsi="仿宋" w:eastAsia="仿宋"/>
          <w:iCs/>
          <w:color w:val="000000" w:themeColor="text1"/>
          <w:sz w:val="28"/>
          <w:szCs w:val="28"/>
          <w:highlight w:val="none"/>
          <w14:textFill>
            <w14:solidFill>
              <w14:schemeClr w14:val="tx1"/>
            </w14:solidFill>
          </w14:textFill>
        </w:rPr>
        <w:t>软件参考配置</w:t>
      </w:r>
    </w:p>
    <w:tbl>
      <w:tblPr>
        <w:tblStyle w:val="58"/>
        <w:tblW w:w="805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880" w:type="dxa"/>
            <w:shd w:val="clear" w:color="auto" w:fill="E6E6E6"/>
            <w:vAlign w:val="center"/>
          </w:tcPr>
          <w:p>
            <w:pPr>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数据库软件</w:t>
            </w:r>
          </w:p>
        </w:tc>
        <w:tc>
          <w:tcPr>
            <w:tcW w:w="5174" w:type="dxa"/>
            <w:vAlign w:val="center"/>
          </w:tcPr>
          <w:p>
            <w:pPr>
              <w:jc w:val="center"/>
              <w:rPr>
                <w:rFonts w:ascii="仿宋" w:hAnsi="仿宋" w:eastAsia="仿宋"/>
                <w:color w:val="000000" w:themeColor="text1"/>
                <w:sz w:val="24"/>
                <w:highlight w:val="none"/>
                <w14:textFill>
                  <w14:solidFill>
                    <w14:schemeClr w14:val="tx1"/>
                  </w14:solidFill>
                </w14:textFill>
              </w:rPr>
            </w:pPr>
            <w:r>
              <w:rPr>
                <w:rFonts w:ascii="仿宋" w:hAnsi="仿宋" w:eastAsia="仿宋"/>
                <w:bCs/>
                <w:iCs/>
                <w:color w:val="000000" w:themeColor="text1"/>
                <w:sz w:val="24"/>
                <w:highlight w:val="none"/>
                <w14:textFill>
                  <w14:solidFill>
                    <w14:schemeClr w14:val="tx1"/>
                  </w14:solidFill>
                </w14:textFill>
              </w:rPr>
              <w:t>Oracle 1</w:t>
            </w:r>
            <w:r>
              <w:rPr>
                <w:rFonts w:hint="eastAsia" w:ascii="仿宋" w:hAnsi="仿宋" w:eastAsia="仿宋"/>
                <w:bCs/>
                <w:iCs/>
                <w:color w:val="000000" w:themeColor="text1"/>
                <w:sz w:val="24"/>
                <w:highlight w:val="none"/>
                <w14:textFill>
                  <w14:solidFill>
                    <w14:schemeClr w14:val="tx1"/>
                  </w14:solidFill>
                </w14:textFill>
              </w:rPr>
              <w:t>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880" w:type="dxa"/>
            <w:shd w:val="clear" w:color="auto" w:fill="E6E6E6"/>
            <w:vAlign w:val="center"/>
          </w:tcPr>
          <w:p>
            <w:pPr>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ETL软件</w:t>
            </w:r>
          </w:p>
        </w:tc>
        <w:tc>
          <w:tcPr>
            <w:tcW w:w="5174" w:type="dxa"/>
            <w:vAlign w:val="center"/>
          </w:tcPr>
          <w:p>
            <w:pPr>
              <w:jc w:val="center"/>
              <w:rPr>
                <w:rFonts w:ascii="仿宋" w:hAnsi="仿宋" w:eastAsia="仿宋"/>
                <w:color w:val="000000" w:themeColor="text1"/>
                <w:sz w:val="24"/>
                <w:highlight w:val="none"/>
                <w14:textFill>
                  <w14:solidFill>
                    <w14:schemeClr w14:val="tx1"/>
                  </w14:solidFill>
                </w14:textFill>
              </w:rPr>
            </w:pPr>
            <w:r>
              <w:rPr>
                <w:rFonts w:ascii="仿宋" w:hAnsi="仿宋" w:eastAsia="仿宋"/>
                <w:bCs/>
                <w:iCs/>
                <w:color w:val="000000" w:themeColor="text1"/>
                <w:sz w:val="24"/>
                <w:highlight w:val="none"/>
                <w14:textFill>
                  <w14:solidFill>
                    <w14:schemeClr w14:val="tx1"/>
                  </w14:solidFill>
                </w14:textFill>
              </w:rPr>
              <w:t>DataStage</w:t>
            </w:r>
            <w:r>
              <w:rPr>
                <w:rFonts w:hint="eastAsia" w:ascii="仿宋" w:hAnsi="仿宋" w:eastAsia="仿宋"/>
                <w:bCs/>
                <w:iCs/>
                <w:color w:val="000000" w:themeColor="text1"/>
                <w:sz w:val="24"/>
                <w:highlight w:val="none"/>
                <w14:textFill>
                  <w14:solidFill>
                    <w14:schemeClr w14:val="tx1"/>
                  </w14:solidFill>
                </w14:textFill>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880" w:type="dxa"/>
            <w:shd w:val="clear" w:color="auto" w:fill="E6E6E6"/>
            <w:vAlign w:val="center"/>
          </w:tcPr>
          <w:p>
            <w:pPr>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中间件</w:t>
            </w:r>
          </w:p>
        </w:tc>
        <w:tc>
          <w:tcPr>
            <w:tcW w:w="5174" w:type="dxa"/>
            <w:vAlign w:val="center"/>
          </w:tcPr>
          <w:p>
            <w:pPr>
              <w:jc w:val="center"/>
              <w:rPr>
                <w:rFonts w:ascii="仿宋" w:hAnsi="仿宋" w:eastAsia="仿宋"/>
                <w:color w:val="000000" w:themeColor="text1"/>
                <w:sz w:val="24"/>
                <w:highlight w:val="none"/>
                <w14:textFill>
                  <w14:solidFill>
                    <w14:schemeClr w14:val="tx1"/>
                  </w14:solidFill>
                </w14:textFill>
              </w:rPr>
            </w:pPr>
            <w:r>
              <w:rPr>
                <w:rFonts w:ascii="仿宋" w:hAnsi="仿宋" w:eastAsia="仿宋"/>
                <w:bCs/>
                <w:iCs/>
                <w:color w:val="000000" w:themeColor="text1"/>
                <w:sz w:val="24"/>
                <w:highlight w:val="none"/>
                <w14:textFill>
                  <w14:solidFill>
                    <w14:schemeClr w14:val="tx1"/>
                  </w14:solidFill>
                </w14:textFill>
              </w:rPr>
              <w:t>Weblogic</w:t>
            </w:r>
          </w:p>
        </w:tc>
      </w:tr>
    </w:tbl>
    <w:p>
      <w:pPr>
        <w:pStyle w:val="31"/>
        <w:numPr>
          <w:ilvl w:val="1"/>
          <w:numId w:val="21"/>
        </w:numPr>
        <w:spacing w:line="360" w:lineRule="auto"/>
        <w:ind w:leftChars="0"/>
        <w:rPr>
          <w:rFonts w:ascii="仿宋" w:hAnsi="仿宋" w:eastAsia="仿宋"/>
          <w:iCs/>
          <w:color w:val="000000" w:themeColor="text1"/>
          <w:sz w:val="28"/>
          <w:szCs w:val="28"/>
          <w:highlight w:val="none"/>
          <w14:textFill>
            <w14:solidFill>
              <w14:schemeClr w14:val="tx1"/>
            </w14:solidFill>
          </w14:textFill>
        </w:rPr>
      </w:pPr>
      <w:r>
        <w:rPr>
          <w:rFonts w:ascii="仿宋" w:hAnsi="仿宋" w:eastAsia="仿宋"/>
          <w:iCs/>
          <w:color w:val="000000" w:themeColor="text1"/>
          <w:sz w:val="28"/>
          <w:szCs w:val="28"/>
          <w:highlight w:val="none"/>
          <w14:textFill>
            <w14:solidFill>
              <w14:schemeClr w14:val="tx1"/>
            </w14:solidFill>
          </w14:textFill>
        </w:rPr>
        <w:t>硬件推荐配置</w:t>
      </w:r>
    </w:p>
    <w:tbl>
      <w:tblPr>
        <w:tblStyle w:val="58"/>
        <w:tblW w:w="805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880" w:type="dxa"/>
            <w:shd w:val="clear" w:color="auto" w:fill="E6E6E6"/>
            <w:vAlign w:val="center"/>
          </w:tcPr>
          <w:p>
            <w:pPr>
              <w:jc w:val="center"/>
              <w:rPr>
                <w:rFonts w:ascii="仿宋" w:hAnsi="仿宋" w:eastAsia="仿宋"/>
                <w:b/>
                <w:bCs/>
                <w:iCs/>
                <w:color w:val="000000" w:themeColor="text1"/>
                <w:sz w:val="28"/>
                <w:szCs w:val="28"/>
                <w:highlight w:val="none"/>
                <w14:textFill>
                  <w14:solidFill>
                    <w14:schemeClr w14:val="tx1"/>
                  </w14:solidFill>
                </w14:textFill>
              </w:rPr>
            </w:pPr>
            <w:r>
              <w:rPr>
                <w:rFonts w:hint="eastAsia" w:ascii="仿宋" w:hAnsi="仿宋" w:eastAsia="仿宋"/>
                <w:b/>
                <w:bCs/>
                <w:iCs/>
                <w:color w:val="000000" w:themeColor="text1"/>
                <w:sz w:val="28"/>
                <w:szCs w:val="28"/>
                <w:highlight w:val="none"/>
                <w14:textFill>
                  <w14:solidFill>
                    <w14:schemeClr w14:val="tx1"/>
                  </w14:solidFill>
                </w14:textFill>
              </w:rPr>
              <w:t>应用服务器</w:t>
            </w:r>
          </w:p>
        </w:tc>
        <w:tc>
          <w:tcPr>
            <w:tcW w:w="5174" w:type="dxa"/>
            <w:vAlign w:val="center"/>
          </w:tcPr>
          <w:p>
            <w:pPr>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cs="Arial"/>
                <w:color w:val="000000" w:themeColor="text1"/>
                <w:spacing w:val="20"/>
                <w:sz w:val="18"/>
                <w:szCs w:val="18"/>
                <w:highlight w:val="none"/>
                <w14:textFill>
                  <w14:solidFill>
                    <w14:schemeClr w14:val="tx1"/>
                  </w14:solidFill>
                </w14:textFill>
              </w:rPr>
              <w:t>虚拟机，4CPU,内存16G，硬盘300G以上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880" w:type="dxa"/>
            <w:shd w:val="clear" w:color="auto" w:fill="E6E6E6"/>
            <w:vAlign w:val="center"/>
          </w:tcPr>
          <w:p>
            <w:pPr>
              <w:jc w:val="center"/>
              <w:rPr>
                <w:rFonts w:ascii="仿宋" w:hAnsi="仿宋" w:eastAsia="仿宋"/>
                <w:b/>
                <w:bCs/>
                <w:iCs/>
                <w:color w:val="000000" w:themeColor="text1"/>
                <w:sz w:val="28"/>
                <w:szCs w:val="28"/>
                <w:highlight w:val="none"/>
                <w14:textFill>
                  <w14:solidFill>
                    <w14:schemeClr w14:val="tx1"/>
                  </w14:solidFill>
                </w14:textFill>
              </w:rPr>
            </w:pPr>
            <w:r>
              <w:rPr>
                <w:rFonts w:hint="eastAsia" w:ascii="仿宋" w:hAnsi="仿宋" w:eastAsia="仿宋"/>
                <w:b/>
                <w:bCs/>
                <w:iCs/>
                <w:color w:val="000000" w:themeColor="text1"/>
                <w:sz w:val="28"/>
                <w:szCs w:val="28"/>
                <w:highlight w:val="none"/>
                <w14:textFill>
                  <w14:solidFill>
                    <w14:schemeClr w14:val="tx1"/>
                  </w14:solidFill>
                </w14:textFill>
              </w:rPr>
              <w:t>数据库服务器</w:t>
            </w:r>
          </w:p>
        </w:tc>
        <w:tc>
          <w:tcPr>
            <w:tcW w:w="5174" w:type="dxa"/>
            <w:vAlign w:val="center"/>
          </w:tcPr>
          <w:p>
            <w:pPr>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cs="Arial"/>
                <w:color w:val="000000" w:themeColor="text1"/>
                <w:spacing w:val="20"/>
                <w:sz w:val="18"/>
                <w:szCs w:val="18"/>
                <w:highlight w:val="none"/>
                <w14:textFill>
                  <w14:solidFill>
                    <w14:schemeClr w14:val="tx1"/>
                  </w14:solidFill>
                </w14:textFill>
              </w:rPr>
              <w:t>数据仓库一体机，硬盘1500G以上</w:t>
            </w:r>
          </w:p>
        </w:tc>
      </w:tr>
    </w:tbl>
    <w:p>
      <w:pPr>
        <w:pStyle w:val="2"/>
        <w:numPr>
          <w:ilvl w:val="0"/>
          <w:numId w:val="17"/>
        </w:numPr>
        <w:tabs>
          <w:tab w:val="left" w:pos="720"/>
        </w:tabs>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功能需求</w:t>
      </w:r>
    </w:p>
    <w:p>
      <w:pPr>
        <w:autoSpaceDE w:val="0"/>
        <w:autoSpaceDN w:val="0"/>
        <w:adjustRightInd w:val="0"/>
        <w:ind w:left="200"/>
        <w:jc w:val="left"/>
        <w:rPr>
          <w:rFonts w:ascii="仿宋" w:hAnsi="仿宋" w:eastAsia="仿宋"/>
          <w:iCs/>
          <w:color w:val="000000" w:themeColor="text1"/>
          <w:sz w:val="28"/>
          <w:szCs w:val="28"/>
          <w:highlight w:val="none"/>
          <w14:textFill>
            <w14:solidFill>
              <w14:schemeClr w14:val="tx1"/>
            </w14:solidFill>
          </w14:textFill>
        </w:rPr>
      </w:pPr>
    </w:p>
    <w:p>
      <w:pPr>
        <w:pStyle w:val="3"/>
        <w:keepNext w:val="0"/>
        <w:widowControl/>
        <w:numPr>
          <w:ilvl w:val="0"/>
          <w:numId w:val="22"/>
        </w:numPr>
        <w:autoSpaceDE w:val="0"/>
        <w:autoSpaceDN w:val="0"/>
        <w:adjustRightInd w:val="0"/>
        <w:snapToGrid w:val="0"/>
        <w:spacing w:before="156" w:beforeLines="50" w:after="156" w:afterLines="50"/>
        <w:jc w:val="left"/>
        <w:rPr>
          <w:rFonts w:ascii="仿宋" w:hAnsi="仿宋" w:eastAsia="仿宋"/>
          <w:color w:val="000000" w:themeColor="text1"/>
          <w:szCs w:val="28"/>
          <w:highlight w:val="none"/>
          <w14:textFill>
            <w14:solidFill>
              <w14:schemeClr w14:val="tx1"/>
            </w14:solidFill>
          </w14:textFill>
        </w:rPr>
      </w:pPr>
      <w:bookmarkStart w:id="257" w:name="_Toc404266114"/>
      <w:r>
        <w:rPr>
          <w:rFonts w:hint="eastAsia" w:ascii="仿宋" w:hAnsi="仿宋" w:eastAsia="仿宋"/>
          <w:color w:val="000000" w:themeColor="text1"/>
          <w:szCs w:val="28"/>
          <w:highlight w:val="none"/>
          <w14:textFill>
            <w14:solidFill>
              <w14:schemeClr w14:val="tx1"/>
            </w14:solidFill>
          </w14:textFill>
        </w:rPr>
        <w:t>总体需求</w:t>
      </w:r>
      <w:bookmarkEnd w:id="257"/>
    </w:p>
    <w:p>
      <w:pPr>
        <w:pStyle w:val="31"/>
        <w:spacing w:line="360" w:lineRule="auto"/>
        <w:ind w:left="0" w:leftChars="0" w:firstLine="560" w:firstLineChars="200"/>
        <w:rPr>
          <w:rFonts w:ascii="仿宋" w:hAnsi="仿宋" w:eastAsia="仿宋"/>
          <w:iCs/>
          <w:color w:val="000000" w:themeColor="text1"/>
          <w:sz w:val="28"/>
          <w:szCs w:val="28"/>
          <w:highlight w:val="none"/>
          <w14:textFill>
            <w14:solidFill>
              <w14:schemeClr w14:val="tx1"/>
            </w14:solidFill>
          </w14:textFill>
        </w:rPr>
      </w:pPr>
      <w:r>
        <w:rPr>
          <w:rFonts w:hint="eastAsia" w:ascii="仿宋" w:hAnsi="仿宋" w:eastAsia="仿宋"/>
          <w:iCs/>
          <w:color w:val="000000" w:themeColor="text1"/>
          <w:sz w:val="28"/>
          <w:szCs w:val="28"/>
          <w:highlight w:val="none"/>
          <w14:textFill>
            <w14:solidFill>
              <w14:schemeClr w14:val="tx1"/>
            </w14:solidFill>
          </w14:textFill>
        </w:rPr>
        <w:t>能够满足人行大集中报表、银监非现场监管报表、利率报备、金融标准化、银监区域特色报表的填报制度要求。实现分机构、分层级、分区域的数据自动提取并生成相应监管报表，实现报表流程化审核与汇总功能，实现报表质量跟踪记录，实现统计分析相应功能，实现基础数据补录功能，实现源数据跑批跟踪展现功能，实现人员管理、制度管理、系统配置公共管理功能。</w:t>
      </w:r>
    </w:p>
    <w:p>
      <w:pPr>
        <w:ind w:left="465"/>
        <w:rPr>
          <w:color w:val="000000" w:themeColor="text1"/>
          <w:highlight w:val="none"/>
          <w14:textFill>
            <w14:solidFill>
              <w14:schemeClr w14:val="tx1"/>
            </w14:solidFill>
          </w14:textFill>
        </w:rPr>
      </w:pPr>
    </w:p>
    <w:p>
      <w:pPr>
        <w:ind w:left="465"/>
        <w:rPr>
          <w:color w:val="000000" w:themeColor="text1"/>
          <w:highlight w:val="none"/>
          <w14:textFill>
            <w14:solidFill>
              <w14:schemeClr w14:val="tx1"/>
            </w14:solidFill>
          </w14:textFill>
        </w:rPr>
      </w:pPr>
    </w:p>
    <w:p>
      <w:pPr>
        <w:pStyle w:val="3"/>
        <w:keepNext w:val="0"/>
        <w:widowControl/>
        <w:numPr>
          <w:ilvl w:val="1"/>
          <w:numId w:val="0"/>
        </w:numPr>
        <w:autoSpaceDE w:val="0"/>
        <w:autoSpaceDN w:val="0"/>
        <w:adjustRightInd w:val="0"/>
        <w:snapToGrid w:val="0"/>
        <w:spacing w:before="156" w:beforeLines="50" w:after="156" w:afterLines="50"/>
        <w:jc w:val="left"/>
        <w:rPr>
          <w:rFonts w:ascii="仿宋" w:hAnsi="仿宋" w:eastAsia="仿宋"/>
          <w:color w:val="000000" w:themeColor="text1"/>
          <w:szCs w:val="28"/>
          <w:highlight w:val="none"/>
          <w14:textFill>
            <w14:solidFill>
              <w14:schemeClr w14:val="tx1"/>
            </w14:solidFill>
          </w14:textFill>
        </w:rPr>
      </w:pPr>
      <w:bookmarkStart w:id="258" w:name="_Toc404266115"/>
      <w:r>
        <w:rPr>
          <w:rFonts w:hint="eastAsia" w:ascii="仿宋" w:hAnsi="仿宋" w:eastAsia="仿宋"/>
          <w:color w:val="000000" w:themeColor="text1"/>
          <w:szCs w:val="28"/>
          <w:highlight w:val="none"/>
          <w14:textFill>
            <w14:solidFill>
              <w14:schemeClr w14:val="tx1"/>
            </w14:solidFill>
          </w14:textFill>
        </w:rPr>
        <w:t>2、项目报表范围</w:t>
      </w:r>
      <w:bookmarkEnd w:id="258"/>
    </w:p>
    <w:tbl>
      <w:tblPr>
        <w:tblStyle w:val="5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Borders>
              <w:top w:val="single" w:color="auto" w:sz="4" w:space="0"/>
              <w:left w:val="single" w:color="auto" w:sz="4" w:space="0"/>
              <w:bottom w:val="single" w:color="auto" w:sz="4" w:space="0"/>
              <w:right w:val="single" w:color="auto" w:sz="4" w:space="0"/>
            </w:tcBorders>
            <w:shd w:val="clear" w:color="auto" w:fill="A6A6A6"/>
          </w:tcPr>
          <w:p>
            <w:pPr>
              <w:pStyle w:val="216"/>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术语</w:t>
            </w:r>
          </w:p>
        </w:tc>
        <w:tc>
          <w:tcPr>
            <w:tcW w:w="5864" w:type="dxa"/>
            <w:tcBorders>
              <w:top w:val="single" w:color="auto" w:sz="4" w:space="0"/>
              <w:left w:val="single" w:color="auto" w:sz="4" w:space="0"/>
              <w:bottom w:val="single" w:color="auto" w:sz="4" w:space="0"/>
              <w:right w:val="single" w:color="auto" w:sz="4" w:space="0"/>
            </w:tcBorders>
            <w:shd w:val="clear" w:color="auto" w:fill="A6A6A6"/>
          </w:tcPr>
          <w:p>
            <w:pPr>
              <w:pStyle w:val="216"/>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Borders>
              <w:top w:val="single" w:color="auto" w:sz="4" w:space="0"/>
              <w:left w:val="single" w:color="auto" w:sz="4" w:space="0"/>
              <w:bottom w:val="single" w:color="auto" w:sz="4" w:space="0"/>
              <w:right w:val="single" w:color="auto" w:sz="4" w:space="0"/>
            </w:tcBorders>
            <w:vAlign w:val="center"/>
          </w:tcPr>
          <w:p>
            <w:pPr>
              <w:pStyle w:val="216"/>
              <w:jc w:val="both"/>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人民银行大集中统计报表</w:t>
            </w:r>
          </w:p>
        </w:tc>
        <w:tc>
          <w:tcPr>
            <w:tcW w:w="5864" w:type="dxa"/>
            <w:tcBorders>
              <w:top w:val="single" w:color="auto" w:sz="4" w:space="0"/>
              <w:left w:val="single" w:color="auto" w:sz="4" w:space="0"/>
              <w:bottom w:val="single" w:color="auto" w:sz="4" w:space="0"/>
              <w:right w:val="single" w:color="auto" w:sz="4" w:space="0"/>
            </w:tcBorders>
            <w:vAlign w:val="center"/>
          </w:tcPr>
          <w:p>
            <w:pPr>
              <w:pStyle w:val="216"/>
              <w:jc w:val="both"/>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包括项目实施期间人民银行颁布的最新金融机构金融统计制度中所包含的报表。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Borders>
              <w:top w:val="single" w:color="auto" w:sz="4" w:space="0"/>
              <w:left w:val="single" w:color="auto" w:sz="4" w:space="0"/>
              <w:bottom w:val="single" w:color="auto" w:sz="4" w:space="0"/>
              <w:right w:val="single" w:color="auto" w:sz="4" w:space="0"/>
            </w:tcBorders>
            <w:vAlign w:val="center"/>
          </w:tcPr>
          <w:p>
            <w:pPr>
              <w:pStyle w:val="216"/>
              <w:jc w:val="both"/>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人民银行金标统计报表</w:t>
            </w:r>
          </w:p>
        </w:tc>
        <w:tc>
          <w:tcPr>
            <w:tcW w:w="5864" w:type="dxa"/>
            <w:tcBorders>
              <w:top w:val="single" w:color="auto" w:sz="4" w:space="0"/>
              <w:left w:val="single" w:color="auto" w:sz="4" w:space="0"/>
              <w:bottom w:val="single" w:color="auto" w:sz="4" w:space="0"/>
              <w:right w:val="single" w:color="auto" w:sz="4" w:space="0"/>
            </w:tcBorders>
            <w:vAlign w:val="center"/>
          </w:tcPr>
          <w:p>
            <w:pPr>
              <w:pStyle w:val="216"/>
              <w:jc w:val="both"/>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包括项目实施期间人民银行颁布的最新金融统计标准化文件所要求报送的数据。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Borders>
              <w:top w:val="single" w:color="auto" w:sz="4" w:space="0"/>
              <w:left w:val="single" w:color="auto" w:sz="4" w:space="0"/>
              <w:bottom w:val="single" w:color="auto" w:sz="4" w:space="0"/>
              <w:right w:val="single" w:color="auto" w:sz="4" w:space="0"/>
            </w:tcBorders>
            <w:vAlign w:val="center"/>
          </w:tcPr>
          <w:p>
            <w:pPr>
              <w:pStyle w:val="216"/>
              <w:jc w:val="both"/>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人民银行利率报备报表</w:t>
            </w:r>
          </w:p>
        </w:tc>
        <w:tc>
          <w:tcPr>
            <w:tcW w:w="5864" w:type="dxa"/>
            <w:tcBorders>
              <w:top w:val="single" w:color="auto" w:sz="4" w:space="0"/>
              <w:left w:val="single" w:color="auto" w:sz="4" w:space="0"/>
              <w:bottom w:val="single" w:color="auto" w:sz="4" w:space="0"/>
              <w:right w:val="single" w:color="auto" w:sz="4" w:space="0"/>
            </w:tcBorders>
            <w:vAlign w:val="center"/>
          </w:tcPr>
          <w:p>
            <w:pPr>
              <w:pStyle w:val="216"/>
              <w:jc w:val="both"/>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包括项目实施期间人民银行颁布的最新利率报备监测分析系统所要求报送的报表。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Borders>
              <w:top w:val="single" w:color="auto" w:sz="4" w:space="0"/>
              <w:left w:val="single" w:color="auto" w:sz="4" w:space="0"/>
              <w:bottom w:val="single" w:color="auto" w:sz="4" w:space="0"/>
              <w:right w:val="single" w:color="auto" w:sz="4" w:space="0"/>
            </w:tcBorders>
            <w:vAlign w:val="center"/>
          </w:tcPr>
          <w:p>
            <w:pPr>
              <w:pStyle w:val="216"/>
              <w:jc w:val="both"/>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银监会非现场监管报表</w:t>
            </w:r>
          </w:p>
        </w:tc>
        <w:tc>
          <w:tcPr>
            <w:tcW w:w="5864" w:type="dxa"/>
            <w:tcBorders>
              <w:top w:val="single" w:color="auto" w:sz="4" w:space="0"/>
              <w:left w:val="single" w:color="auto" w:sz="4" w:space="0"/>
              <w:bottom w:val="single" w:color="auto" w:sz="4" w:space="0"/>
              <w:right w:val="single" w:color="auto" w:sz="4" w:space="0"/>
            </w:tcBorders>
            <w:vAlign w:val="center"/>
          </w:tcPr>
          <w:p>
            <w:pPr>
              <w:pStyle w:val="216"/>
              <w:jc w:val="both"/>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包括项目实施期间银监会最新文件要求内容（含法人口径、法人并表口径、分支机构等），其中资本充足率报表包括未要求上报的工作底稿。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Borders>
              <w:top w:val="single" w:color="auto" w:sz="4" w:space="0"/>
              <w:left w:val="single" w:color="auto" w:sz="4" w:space="0"/>
              <w:bottom w:val="single" w:color="auto" w:sz="4" w:space="0"/>
              <w:right w:val="single" w:color="auto" w:sz="4" w:space="0"/>
            </w:tcBorders>
            <w:vAlign w:val="center"/>
          </w:tcPr>
          <w:p>
            <w:pPr>
              <w:pStyle w:val="216"/>
              <w:jc w:val="both"/>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当地银监局区域特色报表</w:t>
            </w:r>
          </w:p>
        </w:tc>
        <w:tc>
          <w:tcPr>
            <w:tcW w:w="5864" w:type="dxa"/>
            <w:tcBorders>
              <w:top w:val="single" w:color="auto" w:sz="4" w:space="0"/>
              <w:left w:val="single" w:color="auto" w:sz="4" w:space="0"/>
              <w:bottom w:val="single" w:color="auto" w:sz="4" w:space="0"/>
              <w:right w:val="single" w:color="auto" w:sz="4" w:space="0"/>
            </w:tcBorders>
            <w:vAlign w:val="center"/>
          </w:tcPr>
          <w:p>
            <w:pPr>
              <w:pStyle w:val="216"/>
              <w:jc w:val="both"/>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包括项目实施期间重庆、成都、贵阳、西安四个地区银监局通过非现场监管报表系统收集的最新区域特色报表。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Borders>
              <w:top w:val="single" w:color="auto" w:sz="4" w:space="0"/>
              <w:left w:val="single" w:color="auto" w:sz="4" w:space="0"/>
              <w:bottom w:val="single" w:color="auto" w:sz="4" w:space="0"/>
              <w:right w:val="single" w:color="auto" w:sz="4" w:space="0"/>
            </w:tcBorders>
            <w:vAlign w:val="center"/>
          </w:tcPr>
          <w:p>
            <w:pPr>
              <w:pStyle w:val="216"/>
              <w:jc w:val="both"/>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重庆银行各部门内部报表</w:t>
            </w:r>
          </w:p>
        </w:tc>
        <w:tc>
          <w:tcPr>
            <w:tcW w:w="5864" w:type="dxa"/>
            <w:tcBorders>
              <w:top w:val="single" w:color="auto" w:sz="4" w:space="0"/>
              <w:left w:val="single" w:color="auto" w:sz="4" w:space="0"/>
              <w:bottom w:val="single" w:color="auto" w:sz="4" w:space="0"/>
              <w:right w:val="single" w:color="auto" w:sz="4" w:space="0"/>
            </w:tcBorders>
            <w:vAlign w:val="center"/>
          </w:tcPr>
          <w:p>
            <w:pPr>
              <w:pStyle w:val="216"/>
              <w:jc w:val="both"/>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项目实施前重庆银行各部门的报表需求，原则上不超过50张。</w:t>
            </w:r>
          </w:p>
        </w:tc>
      </w:tr>
    </w:tbl>
    <w:p>
      <w:pPr>
        <w:rPr>
          <w:color w:val="000000" w:themeColor="text1"/>
          <w:highlight w:val="none"/>
          <w14:textFill>
            <w14:solidFill>
              <w14:schemeClr w14:val="tx1"/>
            </w14:solidFill>
          </w14:textFill>
        </w:rPr>
      </w:pPr>
      <w:bookmarkStart w:id="259" w:name="_Toc404266116"/>
    </w:p>
    <w:p>
      <w:pPr>
        <w:rPr>
          <w:color w:val="000000" w:themeColor="text1"/>
          <w:highlight w:val="none"/>
          <w14:textFill>
            <w14:solidFill>
              <w14:schemeClr w14:val="tx1"/>
            </w14:solidFill>
          </w14:textFill>
        </w:rPr>
      </w:pPr>
    </w:p>
    <w:bookmarkEnd w:id="259"/>
    <w:p>
      <w:pPr>
        <w:rPr>
          <w:color w:val="000000" w:themeColor="text1"/>
          <w:highlight w:val="none"/>
          <w14:textFill>
            <w14:solidFill>
              <w14:schemeClr w14:val="tx1"/>
            </w14:solidFill>
          </w14:textFill>
        </w:rPr>
      </w:pPr>
    </w:p>
    <w:p>
      <w:pPr>
        <w:pStyle w:val="3"/>
        <w:keepNext w:val="0"/>
        <w:widowControl/>
        <w:numPr>
          <w:ilvl w:val="1"/>
          <w:numId w:val="0"/>
        </w:numPr>
        <w:autoSpaceDE w:val="0"/>
        <w:autoSpaceDN w:val="0"/>
        <w:adjustRightInd w:val="0"/>
        <w:snapToGrid w:val="0"/>
        <w:spacing w:before="156" w:beforeLines="50" w:after="156" w:afterLines="50"/>
        <w:jc w:val="left"/>
        <w:rPr>
          <w:rFonts w:ascii="仿宋" w:hAnsi="仿宋" w:eastAsia="仿宋"/>
          <w:color w:val="000000" w:themeColor="text1"/>
          <w:szCs w:val="28"/>
          <w:highlight w:val="none"/>
          <w14:textFill>
            <w14:solidFill>
              <w14:schemeClr w14:val="tx1"/>
            </w14:solidFill>
          </w14:textFill>
        </w:rPr>
      </w:pPr>
      <w:bookmarkStart w:id="260" w:name="_Toc404266118"/>
      <w:r>
        <w:rPr>
          <w:rFonts w:hint="eastAsia" w:ascii="仿宋" w:hAnsi="仿宋" w:eastAsia="仿宋"/>
          <w:color w:val="000000" w:themeColor="text1"/>
          <w:szCs w:val="28"/>
          <w:highlight w:val="none"/>
          <w14:textFill>
            <w14:solidFill>
              <w14:schemeClr w14:val="tx1"/>
            </w14:solidFill>
          </w14:textFill>
        </w:rPr>
        <w:t>3、项目功能结构</w:t>
      </w:r>
      <w:bookmarkEnd w:id="260"/>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object>
          <v:shape id="_x0000_i1026" o:spt="75" type="#_x0000_t75" style="height:168.35pt;width:389.9pt;" o:ole="t" filled="f" o:preferrelative="t" stroked="f" coordsize="21600,21600">
            <v:path/>
            <v:fill on="f" focussize="0,0"/>
            <v:stroke on="f" joinstyle="miter"/>
            <v:imagedata r:id="rId22" o:title=""/>
            <o:lock v:ext="edit" aspectratio="t"/>
            <w10:wrap type="none"/>
            <w10:anchorlock/>
          </v:shape>
          <o:OLEObject Type="Embed" ProgID="Visio.Drawing.11" ShapeID="_x0000_i1026" DrawAspect="Content" ObjectID="_1468075726" r:id="rId21">
            <o:LockedField>false</o:LockedField>
          </o:OLEObject>
        </w:object>
      </w:r>
    </w:p>
    <w:p>
      <w:pPr>
        <w:pStyle w:val="3"/>
        <w:keepNext w:val="0"/>
        <w:widowControl/>
        <w:numPr>
          <w:ilvl w:val="1"/>
          <w:numId w:val="0"/>
        </w:numPr>
        <w:autoSpaceDE w:val="0"/>
        <w:autoSpaceDN w:val="0"/>
        <w:adjustRightInd w:val="0"/>
        <w:snapToGrid w:val="0"/>
        <w:spacing w:before="156" w:beforeLines="50" w:after="156" w:afterLines="50"/>
        <w:jc w:val="left"/>
        <w:rPr>
          <w:rFonts w:ascii="仿宋" w:hAnsi="仿宋" w:eastAsia="仿宋"/>
          <w:color w:val="000000" w:themeColor="text1"/>
          <w:szCs w:val="28"/>
          <w:highlight w:val="none"/>
          <w14:textFill>
            <w14:solidFill>
              <w14:schemeClr w14:val="tx1"/>
            </w14:solidFill>
          </w14:textFill>
        </w:rPr>
      </w:pPr>
      <w:bookmarkStart w:id="261" w:name="_Toc404266119"/>
      <w:r>
        <w:rPr>
          <w:rFonts w:hint="eastAsia" w:ascii="仿宋" w:hAnsi="仿宋" w:eastAsia="仿宋"/>
          <w:color w:val="000000" w:themeColor="text1"/>
          <w:szCs w:val="28"/>
          <w:highlight w:val="none"/>
          <w14:textFill>
            <w14:solidFill>
              <w14:schemeClr w14:val="tx1"/>
            </w14:solidFill>
          </w14:textFill>
        </w:rPr>
        <w:t>4、项目功能概述</w:t>
      </w:r>
      <w:bookmarkEnd w:id="261"/>
    </w:p>
    <w:p>
      <w:pPr>
        <w:pStyle w:val="297"/>
        <w:keepNext/>
        <w:numPr>
          <w:ilvl w:val="1"/>
          <w:numId w:val="23"/>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3"/>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3"/>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3"/>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3"/>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3"/>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0"/>
          <w:numId w:val="24"/>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0"/>
          <w:numId w:val="24"/>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4"/>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4"/>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4"/>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4"/>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4"/>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4"/>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4"/>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numPr>
          <w:ilvl w:val="1"/>
          <w:numId w:val="24"/>
        </w:numPr>
        <w:spacing w:before="156" w:beforeLines="50" w:after="156" w:afterLines="50"/>
        <w:ind w:firstLineChars="0"/>
        <w:jc w:val="both"/>
        <w:outlineLvl w:val="3"/>
        <w:rPr>
          <w:rFonts w:ascii="黑体" w:eastAsia="黑体"/>
          <w:b/>
          <w:vanish/>
          <w:color w:val="000000" w:themeColor="text1"/>
          <w:highlight w:val="none"/>
          <w14:textFill>
            <w14:solidFill>
              <w14:schemeClr w14:val="tx1"/>
            </w14:solidFill>
          </w14:textFill>
        </w:rPr>
      </w:pPr>
    </w:p>
    <w:p>
      <w:pPr>
        <w:pStyle w:val="297"/>
        <w:keepNext/>
        <w:keepLines/>
        <w:widowControl/>
        <w:adjustRightInd w:val="0"/>
        <w:snapToGrid w:val="0"/>
        <w:spacing w:before="156" w:beforeLines="50" w:after="156" w:afterLines="50"/>
        <w:ind w:left="425" w:hanging="425" w:firstLineChars="0"/>
        <w:outlineLvl w:val="2"/>
        <w:rPr>
          <w:rFonts w:ascii="Times" w:hAnsi="Times" w:eastAsia="黑体"/>
          <w:b/>
          <w:vanish/>
          <w:color w:val="000000" w:themeColor="text1"/>
          <w:highlight w:val="none"/>
          <w14:textFill>
            <w14:solidFill>
              <w14:schemeClr w14:val="tx1"/>
            </w14:solidFill>
          </w14:textFill>
        </w:rPr>
      </w:pPr>
      <w:bookmarkStart w:id="262" w:name="_Toc404266120"/>
      <w:bookmarkEnd w:id="262"/>
      <w:bookmarkStart w:id="263" w:name="_Toc403940293"/>
      <w:bookmarkEnd w:id="263"/>
      <w:bookmarkStart w:id="264" w:name="_Toc404239022"/>
      <w:bookmarkEnd w:id="264"/>
      <w:bookmarkStart w:id="265" w:name="_Toc403743467"/>
      <w:bookmarkEnd w:id="265"/>
      <w:bookmarkStart w:id="266" w:name="_Toc404239078"/>
      <w:bookmarkEnd w:id="266"/>
      <w:bookmarkStart w:id="267" w:name="_Toc404265251"/>
      <w:bookmarkEnd w:id="267"/>
    </w:p>
    <w:p>
      <w:pPr>
        <w:pStyle w:val="297"/>
        <w:keepNext/>
        <w:keepLines/>
        <w:widowControl/>
        <w:adjustRightInd w:val="0"/>
        <w:snapToGrid w:val="0"/>
        <w:spacing w:before="156" w:beforeLines="50" w:after="156" w:afterLines="50"/>
        <w:ind w:left="425" w:hanging="425" w:firstLineChars="0"/>
        <w:outlineLvl w:val="2"/>
        <w:rPr>
          <w:rFonts w:ascii="Times" w:hAnsi="Times" w:eastAsia="黑体"/>
          <w:b/>
          <w:vanish/>
          <w:color w:val="000000" w:themeColor="text1"/>
          <w:highlight w:val="none"/>
          <w14:textFill>
            <w14:solidFill>
              <w14:schemeClr w14:val="tx1"/>
            </w14:solidFill>
          </w14:textFill>
        </w:rPr>
      </w:pPr>
      <w:bookmarkStart w:id="268" w:name="_Toc404239023"/>
      <w:bookmarkEnd w:id="268"/>
      <w:bookmarkStart w:id="269" w:name="_Toc404265252"/>
      <w:bookmarkEnd w:id="269"/>
      <w:bookmarkStart w:id="270" w:name="_Toc403940294"/>
      <w:bookmarkEnd w:id="270"/>
      <w:bookmarkStart w:id="271" w:name="_Toc404239079"/>
      <w:bookmarkEnd w:id="271"/>
      <w:bookmarkStart w:id="272" w:name="_Toc403743468"/>
      <w:bookmarkEnd w:id="272"/>
      <w:bookmarkStart w:id="273" w:name="_Toc404266121"/>
      <w:bookmarkEnd w:id="273"/>
    </w:p>
    <w:p>
      <w:pPr>
        <w:pStyle w:val="297"/>
        <w:keepNext/>
        <w:keepLines/>
        <w:widowControl/>
        <w:numPr>
          <w:ilvl w:val="1"/>
          <w:numId w:val="0"/>
        </w:numPr>
        <w:adjustRightInd w:val="0"/>
        <w:snapToGrid w:val="0"/>
        <w:spacing w:before="156" w:beforeLines="50" w:after="156" w:afterLines="50"/>
        <w:ind w:left="567" w:hanging="567"/>
        <w:outlineLvl w:val="2"/>
        <w:rPr>
          <w:rFonts w:ascii="Times" w:hAnsi="Times" w:eastAsia="黑体"/>
          <w:b/>
          <w:vanish/>
          <w:color w:val="000000" w:themeColor="text1"/>
          <w:highlight w:val="none"/>
          <w14:textFill>
            <w14:solidFill>
              <w14:schemeClr w14:val="tx1"/>
            </w14:solidFill>
          </w14:textFill>
        </w:rPr>
      </w:pPr>
      <w:bookmarkStart w:id="274" w:name="_Toc404266122"/>
      <w:bookmarkEnd w:id="274"/>
      <w:bookmarkStart w:id="275" w:name="_Toc403940295"/>
      <w:bookmarkEnd w:id="275"/>
      <w:bookmarkStart w:id="276" w:name="_Toc404239024"/>
      <w:bookmarkEnd w:id="276"/>
      <w:bookmarkStart w:id="277" w:name="_Toc403743469"/>
      <w:bookmarkEnd w:id="277"/>
      <w:bookmarkStart w:id="278" w:name="_Toc404239080"/>
      <w:bookmarkEnd w:id="278"/>
      <w:bookmarkStart w:id="279" w:name="_Toc404265253"/>
      <w:bookmarkEnd w:id="279"/>
    </w:p>
    <w:p>
      <w:pPr>
        <w:pStyle w:val="297"/>
        <w:keepNext/>
        <w:keepLines/>
        <w:widowControl/>
        <w:numPr>
          <w:ilvl w:val="1"/>
          <w:numId w:val="0"/>
        </w:numPr>
        <w:adjustRightInd w:val="0"/>
        <w:snapToGrid w:val="0"/>
        <w:spacing w:before="156" w:beforeLines="50" w:after="156" w:afterLines="50"/>
        <w:ind w:left="567" w:hanging="567"/>
        <w:outlineLvl w:val="2"/>
        <w:rPr>
          <w:rFonts w:ascii="Times" w:hAnsi="Times" w:eastAsia="黑体"/>
          <w:b/>
          <w:vanish/>
          <w:color w:val="000000" w:themeColor="text1"/>
          <w:highlight w:val="none"/>
          <w14:textFill>
            <w14:solidFill>
              <w14:schemeClr w14:val="tx1"/>
            </w14:solidFill>
          </w14:textFill>
        </w:rPr>
      </w:pPr>
      <w:bookmarkStart w:id="280" w:name="_Toc404266123"/>
      <w:bookmarkEnd w:id="280"/>
      <w:bookmarkStart w:id="281" w:name="_Toc404239081"/>
      <w:bookmarkEnd w:id="281"/>
      <w:bookmarkStart w:id="282" w:name="_Toc404239025"/>
      <w:bookmarkEnd w:id="282"/>
      <w:bookmarkStart w:id="283" w:name="_Toc403940296"/>
      <w:bookmarkEnd w:id="283"/>
      <w:bookmarkStart w:id="284" w:name="_Toc403743470"/>
      <w:bookmarkEnd w:id="284"/>
      <w:bookmarkStart w:id="285" w:name="_Toc404265254"/>
      <w:bookmarkEnd w:id="285"/>
    </w:p>
    <w:p>
      <w:pPr>
        <w:pStyle w:val="297"/>
        <w:keepNext/>
        <w:keepLines/>
        <w:widowControl/>
        <w:numPr>
          <w:ilvl w:val="1"/>
          <w:numId w:val="0"/>
        </w:numPr>
        <w:adjustRightInd w:val="0"/>
        <w:snapToGrid w:val="0"/>
        <w:spacing w:before="156" w:beforeLines="50" w:after="156" w:afterLines="50"/>
        <w:ind w:left="567" w:hanging="567"/>
        <w:outlineLvl w:val="2"/>
        <w:rPr>
          <w:rFonts w:ascii="Times" w:hAnsi="Times" w:eastAsia="黑体"/>
          <w:b/>
          <w:vanish/>
          <w:color w:val="000000" w:themeColor="text1"/>
          <w:highlight w:val="none"/>
          <w14:textFill>
            <w14:solidFill>
              <w14:schemeClr w14:val="tx1"/>
            </w14:solidFill>
          </w14:textFill>
        </w:rPr>
      </w:pPr>
      <w:bookmarkStart w:id="286" w:name="_Toc404239026"/>
      <w:bookmarkEnd w:id="286"/>
      <w:bookmarkStart w:id="287" w:name="_Toc404265255"/>
      <w:bookmarkEnd w:id="287"/>
      <w:bookmarkStart w:id="288" w:name="_Toc404239082"/>
      <w:bookmarkEnd w:id="288"/>
      <w:bookmarkStart w:id="289" w:name="_Toc403743471"/>
      <w:bookmarkEnd w:id="289"/>
      <w:bookmarkStart w:id="290" w:name="_Toc403940297"/>
      <w:bookmarkEnd w:id="290"/>
      <w:bookmarkStart w:id="291" w:name="_Toc404266124"/>
      <w:bookmarkEnd w:id="291"/>
    </w:p>
    <w:p>
      <w:pPr>
        <w:pStyle w:val="297"/>
        <w:keepNext/>
        <w:keepLines/>
        <w:widowControl/>
        <w:numPr>
          <w:ilvl w:val="1"/>
          <w:numId w:val="0"/>
        </w:numPr>
        <w:adjustRightInd w:val="0"/>
        <w:snapToGrid w:val="0"/>
        <w:spacing w:before="156" w:beforeLines="50" w:after="156" w:afterLines="50"/>
        <w:ind w:left="567" w:hanging="567"/>
        <w:outlineLvl w:val="2"/>
        <w:rPr>
          <w:rFonts w:ascii="Times" w:hAnsi="Times" w:eastAsia="黑体"/>
          <w:b/>
          <w:vanish/>
          <w:color w:val="000000" w:themeColor="text1"/>
          <w:highlight w:val="none"/>
          <w14:textFill>
            <w14:solidFill>
              <w14:schemeClr w14:val="tx1"/>
            </w14:solidFill>
          </w14:textFill>
        </w:rPr>
      </w:pPr>
      <w:bookmarkStart w:id="292" w:name="_Toc403940298"/>
      <w:bookmarkEnd w:id="292"/>
      <w:bookmarkStart w:id="293" w:name="_Toc403743472"/>
      <w:bookmarkEnd w:id="293"/>
      <w:bookmarkStart w:id="294" w:name="_Toc404265256"/>
      <w:bookmarkEnd w:id="294"/>
      <w:bookmarkStart w:id="295" w:name="_Toc404266125"/>
      <w:bookmarkEnd w:id="295"/>
      <w:bookmarkStart w:id="296" w:name="_Toc404239027"/>
      <w:bookmarkEnd w:id="296"/>
      <w:bookmarkStart w:id="297" w:name="_Toc404239083"/>
      <w:bookmarkEnd w:id="297"/>
    </w:p>
    <w:p>
      <w:pPr>
        <w:pStyle w:val="297"/>
        <w:keepNext/>
        <w:keepLines/>
        <w:widowControl/>
        <w:numPr>
          <w:ilvl w:val="1"/>
          <w:numId w:val="0"/>
        </w:numPr>
        <w:adjustRightInd w:val="0"/>
        <w:snapToGrid w:val="0"/>
        <w:spacing w:before="156" w:beforeLines="50" w:after="156" w:afterLines="50"/>
        <w:ind w:left="567" w:hanging="567"/>
        <w:outlineLvl w:val="2"/>
        <w:rPr>
          <w:rFonts w:ascii="Times" w:hAnsi="Times" w:eastAsia="黑体"/>
          <w:b/>
          <w:vanish/>
          <w:color w:val="000000" w:themeColor="text1"/>
          <w:highlight w:val="none"/>
          <w14:textFill>
            <w14:solidFill>
              <w14:schemeClr w14:val="tx1"/>
            </w14:solidFill>
          </w14:textFill>
        </w:rPr>
      </w:pPr>
      <w:bookmarkStart w:id="298" w:name="_Toc403743473"/>
      <w:bookmarkEnd w:id="298"/>
      <w:bookmarkStart w:id="299" w:name="_Toc404266126"/>
      <w:bookmarkEnd w:id="299"/>
      <w:bookmarkStart w:id="300" w:name="_Toc404239028"/>
      <w:bookmarkEnd w:id="300"/>
      <w:bookmarkStart w:id="301" w:name="_Toc403940299"/>
      <w:bookmarkEnd w:id="301"/>
      <w:bookmarkStart w:id="302" w:name="_Toc404265257"/>
      <w:bookmarkEnd w:id="302"/>
      <w:bookmarkStart w:id="303" w:name="_Toc404239084"/>
      <w:bookmarkEnd w:id="303"/>
    </w:p>
    <w:p>
      <w:pPr>
        <w:pStyle w:val="297"/>
        <w:keepNext/>
        <w:keepLines/>
        <w:widowControl/>
        <w:numPr>
          <w:ilvl w:val="1"/>
          <w:numId w:val="0"/>
        </w:numPr>
        <w:adjustRightInd w:val="0"/>
        <w:snapToGrid w:val="0"/>
        <w:spacing w:before="156" w:beforeLines="50" w:after="156" w:afterLines="50"/>
        <w:ind w:left="567" w:hanging="567"/>
        <w:outlineLvl w:val="2"/>
        <w:rPr>
          <w:rFonts w:ascii="Times" w:hAnsi="Times" w:eastAsia="黑体"/>
          <w:b/>
          <w:vanish/>
          <w:color w:val="000000" w:themeColor="text1"/>
          <w:highlight w:val="none"/>
          <w14:textFill>
            <w14:solidFill>
              <w14:schemeClr w14:val="tx1"/>
            </w14:solidFill>
          </w14:textFill>
        </w:rPr>
      </w:pPr>
      <w:bookmarkStart w:id="304" w:name="_Toc403940300"/>
      <w:bookmarkEnd w:id="304"/>
      <w:bookmarkStart w:id="305" w:name="_Toc403743474"/>
      <w:bookmarkEnd w:id="305"/>
      <w:bookmarkStart w:id="306" w:name="_Toc404265258"/>
      <w:bookmarkEnd w:id="306"/>
      <w:bookmarkStart w:id="307" w:name="_Toc404239085"/>
      <w:bookmarkEnd w:id="307"/>
      <w:bookmarkStart w:id="308" w:name="_Toc404239029"/>
      <w:bookmarkEnd w:id="308"/>
      <w:bookmarkStart w:id="309" w:name="_Toc404266127"/>
      <w:bookmarkEnd w:id="309"/>
    </w:p>
    <w:p>
      <w:pPr>
        <w:pStyle w:val="297"/>
        <w:keepNext/>
        <w:keepLines/>
        <w:widowControl/>
        <w:numPr>
          <w:ilvl w:val="1"/>
          <w:numId w:val="0"/>
        </w:numPr>
        <w:adjustRightInd w:val="0"/>
        <w:snapToGrid w:val="0"/>
        <w:spacing w:before="156" w:beforeLines="50" w:after="156" w:afterLines="50"/>
        <w:ind w:left="567" w:hanging="567"/>
        <w:outlineLvl w:val="2"/>
        <w:rPr>
          <w:rFonts w:ascii="Times" w:hAnsi="Times" w:eastAsia="黑体"/>
          <w:b/>
          <w:vanish/>
          <w:color w:val="000000" w:themeColor="text1"/>
          <w:highlight w:val="none"/>
          <w14:textFill>
            <w14:solidFill>
              <w14:schemeClr w14:val="tx1"/>
            </w14:solidFill>
          </w14:textFill>
        </w:rPr>
      </w:pPr>
      <w:bookmarkStart w:id="310" w:name="_Toc403743475"/>
      <w:bookmarkEnd w:id="310"/>
      <w:bookmarkStart w:id="311" w:name="_Toc403940301"/>
      <w:bookmarkEnd w:id="311"/>
      <w:bookmarkStart w:id="312" w:name="_Toc404239030"/>
      <w:bookmarkEnd w:id="312"/>
      <w:bookmarkStart w:id="313" w:name="_Toc404239086"/>
      <w:bookmarkEnd w:id="313"/>
      <w:bookmarkStart w:id="314" w:name="_Toc404265259"/>
      <w:bookmarkEnd w:id="314"/>
      <w:bookmarkStart w:id="315" w:name="_Toc404266128"/>
      <w:bookmarkEnd w:id="315"/>
    </w:p>
    <w:p>
      <w:pPr>
        <w:pStyle w:val="297"/>
        <w:keepNext/>
        <w:keepLines/>
        <w:widowControl/>
        <w:numPr>
          <w:ilvl w:val="1"/>
          <w:numId w:val="0"/>
        </w:numPr>
        <w:adjustRightInd w:val="0"/>
        <w:snapToGrid w:val="0"/>
        <w:spacing w:before="156" w:beforeLines="50" w:after="156" w:afterLines="50"/>
        <w:ind w:left="567" w:hanging="567"/>
        <w:outlineLvl w:val="2"/>
        <w:rPr>
          <w:rFonts w:ascii="Times" w:hAnsi="Times" w:eastAsia="黑体"/>
          <w:b/>
          <w:vanish/>
          <w:color w:val="000000" w:themeColor="text1"/>
          <w:highlight w:val="none"/>
          <w14:textFill>
            <w14:solidFill>
              <w14:schemeClr w14:val="tx1"/>
            </w14:solidFill>
          </w14:textFill>
        </w:rPr>
      </w:pPr>
      <w:bookmarkStart w:id="316" w:name="_Toc404239031"/>
      <w:bookmarkEnd w:id="316"/>
      <w:bookmarkStart w:id="317" w:name="_Toc404239087"/>
      <w:bookmarkEnd w:id="317"/>
      <w:bookmarkStart w:id="318" w:name="_Toc403940302"/>
      <w:bookmarkEnd w:id="318"/>
      <w:bookmarkStart w:id="319" w:name="_Toc403743476"/>
      <w:bookmarkEnd w:id="319"/>
      <w:bookmarkStart w:id="320" w:name="_Toc404265260"/>
      <w:bookmarkEnd w:id="320"/>
      <w:bookmarkStart w:id="321" w:name="_Toc404266129"/>
      <w:bookmarkEnd w:id="321"/>
    </w:p>
    <w:p>
      <w:pPr>
        <w:pStyle w:val="4"/>
        <w:widowControl/>
        <w:numPr>
          <w:ilvl w:val="2"/>
          <w:numId w:val="0"/>
        </w:numPr>
        <w:adjustRightInd w:val="0"/>
        <w:snapToGrid w:val="0"/>
        <w:spacing w:before="156" w:beforeLines="50" w:after="156" w:afterLines="50" w:line="360" w:lineRule="auto"/>
        <w:ind w:left="709" w:hanging="709"/>
        <w:jc w:val="left"/>
        <w:rPr>
          <w:rFonts w:ascii="仿宋" w:hAnsi="仿宋" w:eastAsia="仿宋"/>
          <w:color w:val="000000" w:themeColor="text1"/>
          <w:sz w:val="28"/>
          <w:szCs w:val="28"/>
          <w:highlight w:val="none"/>
          <w14:textFill>
            <w14:solidFill>
              <w14:schemeClr w14:val="tx1"/>
            </w14:solidFill>
          </w14:textFill>
        </w:rPr>
      </w:pPr>
      <w:bookmarkStart w:id="322" w:name="_Toc404266130"/>
      <w:r>
        <w:rPr>
          <w:rFonts w:hint="eastAsia" w:ascii="仿宋" w:hAnsi="仿宋" w:eastAsia="仿宋"/>
          <w:color w:val="000000" w:themeColor="text1"/>
          <w:sz w:val="28"/>
          <w:szCs w:val="28"/>
          <w:highlight w:val="none"/>
          <w14:textFill>
            <w14:solidFill>
              <w14:schemeClr w14:val="tx1"/>
            </w14:solidFill>
          </w14:textFill>
        </w:rPr>
        <w:t>源数据管理</w:t>
      </w:r>
      <w:bookmarkEnd w:id="322"/>
    </w:p>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该子系统主要管理从重庆银行相关业务系统到监管统计报表系统数据集市的源数据抽取、转换流程，包括ODS数据源管理、数据集市管理、ETL配置及调度、源数据校验、数据流管理、数据字典管理、源数据校验规则配置、数据查询、复用指标预计算等功能。</w:t>
      </w:r>
    </w:p>
    <w:p>
      <w:pPr>
        <w:pStyle w:val="4"/>
        <w:widowControl/>
        <w:numPr>
          <w:ilvl w:val="2"/>
          <w:numId w:val="0"/>
        </w:numPr>
        <w:adjustRightInd w:val="0"/>
        <w:snapToGrid w:val="0"/>
        <w:spacing w:before="156" w:beforeLines="50" w:after="156" w:afterLines="50" w:line="360" w:lineRule="auto"/>
        <w:ind w:left="709" w:hanging="709"/>
        <w:jc w:val="left"/>
        <w:rPr>
          <w:rFonts w:ascii="仿宋" w:hAnsi="仿宋" w:eastAsia="仿宋"/>
          <w:color w:val="000000" w:themeColor="text1"/>
          <w:sz w:val="28"/>
          <w:szCs w:val="28"/>
          <w:highlight w:val="none"/>
          <w14:textFill>
            <w14:solidFill>
              <w14:schemeClr w14:val="tx1"/>
            </w14:solidFill>
          </w14:textFill>
        </w:rPr>
      </w:pPr>
      <w:bookmarkStart w:id="323" w:name="_Toc404266131"/>
      <w:r>
        <w:rPr>
          <w:rFonts w:hint="eastAsia" w:ascii="仿宋" w:hAnsi="仿宋" w:eastAsia="仿宋"/>
          <w:color w:val="000000" w:themeColor="text1"/>
          <w:sz w:val="28"/>
          <w:szCs w:val="28"/>
          <w:highlight w:val="none"/>
          <w14:textFill>
            <w14:solidFill>
              <w14:schemeClr w14:val="tx1"/>
            </w14:solidFill>
          </w14:textFill>
        </w:rPr>
        <w:t>补录管理</w:t>
      </w:r>
      <w:bookmarkEnd w:id="323"/>
    </w:p>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该子系统主要实现数据集市数据缺失的补充流程，包括补录模板定制、补录任务处理、补录任务监控等功能。</w:t>
      </w:r>
    </w:p>
    <w:p>
      <w:pPr>
        <w:pStyle w:val="4"/>
        <w:widowControl/>
        <w:numPr>
          <w:ilvl w:val="2"/>
          <w:numId w:val="0"/>
        </w:numPr>
        <w:adjustRightInd w:val="0"/>
        <w:snapToGrid w:val="0"/>
        <w:spacing w:before="156" w:beforeLines="50" w:after="156" w:afterLines="50" w:line="360" w:lineRule="auto"/>
        <w:ind w:left="709" w:hanging="709"/>
        <w:jc w:val="left"/>
        <w:rPr>
          <w:rFonts w:ascii="仿宋" w:hAnsi="仿宋" w:eastAsia="仿宋"/>
          <w:color w:val="000000" w:themeColor="text1"/>
          <w:sz w:val="28"/>
          <w:szCs w:val="28"/>
          <w:highlight w:val="none"/>
          <w14:textFill>
            <w14:solidFill>
              <w14:schemeClr w14:val="tx1"/>
            </w14:solidFill>
          </w14:textFill>
        </w:rPr>
      </w:pPr>
      <w:bookmarkStart w:id="324" w:name="_Toc404266132"/>
      <w:r>
        <w:rPr>
          <w:rFonts w:hint="eastAsia" w:ascii="仿宋" w:hAnsi="仿宋" w:eastAsia="仿宋"/>
          <w:color w:val="000000" w:themeColor="text1"/>
          <w:sz w:val="28"/>
          <w:szCs w:val="28"/>
          <w:highlight w:val="none"/>
          <w14:textFill>
            <w14:solidFill>
              <w14:schemeClr w14:val="tx1"/>
            </w14:solidFill>
          </w14:textFill>
        </w:rPr>
        <w:t>报表管理</w:t>
      </w:r>
      <w:bookmarkEnd w:id="324"/>
    </w:p>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该子系统主要实现各类监管和内部报表的填报流程，包括报表模板定制、报表任务配置、报表任务处理、临时报表管理、报表任务查看等功能。</w:t>
      </w:r>
    </w:p>
    <w:p>
      <w:pPr>
        <w:pStyle w:val="4"/>
        <w:widowControl/>
        <w:numPr>
          <w:ilvl w:val="2"/>
          <w:numId w:val="0"/>
        </w:numPr>
        <w:adjustRightInd w:val="0"/>
        <w:snapToGrid w:val="0"/>
        <w:spacing w:before="156" w:beforeLines="50" w:after="156" w:afterLines="50" w:line="360" w:lineRule="auto"/>
        <w:ind w:left="709" w:hanging="709"/>
        <w:jc w:val="left"/>
        <w:rPr>
          <w:rFonts w:ascii="仿宋" w:hAnsi="仿宋" w:eastAsia="仿宋"/>
          <w:color w:val="000000" w:themeColor="text1"/>
          <w:sz w:val="28"/>
          <w:szCs w:val="28"/>
          <w:highlight w:val="none"/>
          <w14:textFill>
            <w14:solidFill>
              <w14:schemeClr w14:val="tx1"/>
            </w14:solidFill>
          </w14:textFill>
        </w:rPr>
      </w:pPr>
      <w:bookmarkStart w:id="325" w:name="_Toc404266133"/>
      <w:r>
        <w:rPr>
          <w:rFonts w:hint="eastAsia" w:ascii="仿宋" w:hAnsi="仿宋" w:eastAsia="仿宋"/>
          <w:color w:val="000000" w:themeColor="text1"/>
          <w:sz w:val="28"/>
          <w:szCs w:val="28"/>
          <w:highlight w:val="none"/>
          <w14:textFill>
            <w14:solidFill>
              <w14:schemeClr w14:val="tx1"/>
            </w14:solidFill>
          </w14:textFill>
        </w:rPr>
        <w:t>统计分析</w:t>
      </w:r>
      <w:bookmarkEnd w:id="325"/>
    </w:p>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该子系统主要实现对系统内源数据及报表数据的各类分析应用流程，包括管理驾驶舱、统计指标风险预警、报表查询、分析模板定制（包括已有报表和源数据的分析）、分析模板应用、临时报表对比分析、源数据钻取分析、重大数据变动分析、监管指标测算、WORD格式分析报告（框架配置、生成、在线编辑、保存、下载等）等功能。</w:t>
      </w:r>
    </w:p>
    <w:p>
      <w:pPr>
        <w:pStyle w:val="4"/>
        <w:widowControl/>
        <w:numPr>
          <w:ilvl w:val="2"/>
          <w:numId w:val="0"/>
        </w:numPr>
        <w:adjustRightInd w:val="0"/>
        <w:snapToGrid w:val="0"/>
        <w:spacing w:before="156" w:beforeLines="50" w:after="156" w:afterLines="50" w:line="360" w:lineRule="auto"/>
        <w:ind w:left="709" w:hanging="709"/>
        <w:jc w:val="left"/>
        <w:rPr>
          <w:rFonts w:ascii="仿宋" w:hAnsi="仿宋" w:eastAsia="仿宋"/>
          <w:color w:val="000000" w:themeColor="text1"/>
          <w:sz w:val="28"/>
          <w:szCs w:val="28"/>
          <w:highlight w:val="none"/>
          <w14:textFill>
            <w14:solidFill>
              <w14:schemeClr w14:val="tx1"/>
            </w14:solidFill>
          </w14:textFill>
        </w:rPr>
      </w:pPr>
      <w:bookmarkStart w:id="326" w:name="_Toc404266134"/>
      <w:r>
        <w:rPr>
          <w:rFonts w:hint="eastAsia" w:ascii="仿宋" w:hAnsi="仿宋" w:eastAsia="仿宋"/>
          <w:color w:val="000000" w:themeColor="text1"/>
          <w:sz w:val="28"/>
          <w:szCs w:val="28"/>
          <w:highlight w:val="none"/>
          <w14:textFill>
            <w14:solidFill>
              <w14:schemeClr w14:val="tx1"/>
            </w14:solidFill>
          </w14:textFill>
        </w:rPr>
        <w:t>现场检查</w:t>
      </w:r>
      <w:bookmarkEnd w:id="326"/>
    </w:p>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该子系统主要实现上级统计归口部门对下属统计机构现场检查流程，包括现场检查任务计划、现场检查任务配置、现场检查任务处理、现场检查任务监控等功能。</w:t>
      </w:r>
    </w:p>
    <w:p>
      <w:pPr>
        <w:pStyle w:val="4"/>
        <w:widowControl/>
        <w:numPr>
          <w:ilvl w:val="2"/>
          <w:numId w:val="0"/>
        </w:numPr>
        <w:adjustRightInd w:val="0"/>
        <w:snapToGrid w:val="0"/>
        <w:spacing w:before="156" w:beforeLines="50" w:after="156" w:afterLines="50" w:line="360" w:lineRule="auto"/>
        <w:ind w:left="709" w:hanging="709"/>
        <w:jc w:val="left"/>
        <w:rPr>
          <w:rFonts w:ascii="仿宋" w:hAnsi="仿宋" w:eastAsia="仿宋"/>
          <w:color w:val="000000" w:themeColor="text1"/>
          <w:sz w:val="28"/>
          <w:szCs w:val="28"/>
          <w:highlight w:val="none"/>
          <w14:textFill>
            <w14:solidFill>
              <w14:schemeClr w14:val="tx1"/>
            </w14:solidFill>
          </w14:textFill>
        </w:rPr>
      </w:pPr>
      <w:bookmarkStart w:id="327" w:name="_Toc404266135"/>
      <w:r>
        <w:rPr>
          <w:rFonts w:hint="eastAsia" w:ascii="仿宋" w:hAnsi="仿宋" w:eastAsia="仿宋"/>
          <w:color w:val="000000" w:themeColor="text1"/>
          <w:sz w:val="28"/>
          <w:szCs w:val="28"/>
          <w:highlight w:val="none"/>
          <w14:textFill>
            <w14:solidFill>
              <w14:schemeClr w14:val="tx1"/>
            </w14:solidFill>
          </w14:textFill>
        </w:rPr>
        <w:t>统计考评</w:t>
      </w:r>
      <w:bookmarkEnd w:id="327"/>
    </w:p>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该子系统主要实现质量管理台账的归集和统计归口部门对同级统计部门以及上级统计机构对下属统计机构的统计工作考评流程，包括质量管理台账、数据质疑查询、定量评分规则设置、定性评分模板及任务定制、定性评分任务处理、定性评分任务监控、评分结果查询等功能。</w:t>
      </w:r>
    </w:p>
    <w:p>
      <w:pPr>
        <w:pStyle w:val="4"/>
        <w:widowControl/>
        <w:numPr>
          <w:ilvl w:val="2"/>
          <w:numId w:val="0"/>
        </w:numPr>
        <w:adjustRightInd w:val="0"/>
        <w:snapToGrid w:val="0"/>
        <w:spacing w:before="156" w:beforeLines="50" w:after="156" w:afterLines="50" w:line="360" w:lineRule="auto"/>
        <w:ind w:left="709" w:hanging="709"/>
        <w:jc w:val="left"/>
        <w:rPr>
          <w:rFonts w:ascii="仿宋" w:hAnsi="仿宋" w:eastAsia="仿宋"/>
          <w:color w:val="000000" w:themeColor="text1"/>
          <w:sz w:val="28"/>
          <w:szCs w:val="28"/>
          <w:highlight w:val="none"/>
          <w14:textFill>
            <w14:solidFill>
              <w14:schemeClr w14:val="tx1"/>
            </w14:solidFill>
          </w14:textFill>
        </w:rPr>
      </w:pPr>
      <w:bookmarkStart w:id="328" w:name="_Toc404266136"/>
      <w:r>
        <w:rPr>
          <w:rFonts w:hint="eastAsia" w:ascii="仿宋" w:hAnsi="仿宋" w:eastAsia="仿宋"/>
          <w:color w:val="000000" w:themeColor="text1"/>
          <w:sz w:val="28"/>
          <w:szCs w:val="28"/>
          <w:highlight w:val="none"/>
          <w14:textFill>
            <w14:solidFill>
              <w14:schemeClr w14:val="tx1"/>
            </w14:solidFill>
          </w14:textFill>
        </w:rPr>
        <w:t>人员管理</w:t>
      </w:r>
      <w:bookmarkEnd w:id="328"/>
    </w:p>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该子系统主要实现监管统计报表系统使用人员变动流程，包括人员新增申请、人员角色权限变更申请、人员交接管理、人员管理流程监控等功能。</w:t>
      </w:r>
    </w:p>
    <w:p>
      <w:pPr>
        <w:pStyle w:val="4"/>
        <w:widowControl/>
        <w:numPr>
          <w:ilvl w:val="2"/>
          <w:numId w:val="0"/>
        </w:numPr>
        <w:adjustRightInd w:val="0"/>
        <w:snapToGrid w:val="0"/>
        <w:spacing w:before="156" w:beforeLines="50" w:after="156" w:afterLines="50" w:line="360" w:lineRule="auto"/>
        <w:ind w:left="709" w:hanging="709"/>
        <w:jc w:val="left"/>
        <w:rPr>
          <w:rFonts w:ascii="仿宋" w:hAnsi="仿宋" w:eastAsia="仿宋"/>
          <w:color w:val="000000" w:themeColor="text1"/>
          <w:sz w:val="28"/>
          <w:szCs w:val="28"/>
          <w:highlight w:val="none"/>
          <w14:textFill>
            <w14:solidFill>
              <w14:schemeClr w14:val="tx1"/>
            </w14:solidFill>
          </w14:textFill>
        </w:rPr>
      </w:pPr>
      <w:bookmarkStart w:id="329" w:name="_Toc404266137"/>
      <w:r>
        <w:rPr>
          <w:rFonts w:hint="eastAsia" w:ascii="仿宋" w:hAnsi="仿宋" w:eastAsia="仿宋"/>
          <w:color w:val="000000" w:themeColor="text1"/>
          <w:sz w:val="28"/>
          <w:szCs w:val="28"/>
          <w:highlight w:val="none"/>
          <w14:textFill>
            <w14:solidFill>
              <w14:schemeClr w14:val="tx1"/>
            </w14:solidFill>
          </w14:textFill>
        </w:rPr>
        <w:t>制度管理</w:t>
      </w:r>
      <w:bookmarkEnd w:id="329"/>
    </w:p>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该子系统主要实现外部统计制度及各级统计机构内部统计制度的管理流程，包括制度加载、制度状态调整、制度查询等功能。</w:t>
      </w:r>
    </w:p>
    <w:p>
      <w:pPr>
        <w:pStyle w:val="4"/>
        <w:widowControl/>
        <w:numPr>
          <w:ilvl w:val="2"/>
          <w:numId w:val="0"/>
        </w:numPr>
        <w:adjustRightInd w:val="0"/>
        <w:snapToGrid w:val="0"/>
        <w:spacing w:before="156" w:beforeLines="50" w:after="156" w:afterLines="50" w:line="360" w:lineRule="auto"/>
        <w:ind w:left="709" w:hanging="709"/>
        <w:jc w:val="left"/>
        <w:rPr>
          <w:rFonts w:ascii="仿宋" w:hAnsi="仿宋" w:eastAsia="仿宋"/>
          <w:color w:val="000000" w:themeColor="text1"/>
          <w:sz w:val="28"/>
          <w:szCs w:val="28"/>
          <w:highlight w:val="none"/>
          <w14:textFill>
            <w14:solidFill>
              <w14:schemeClr w14:val="tx1"/>
            </w14:solidFill>
          </w14:textFill>
        </w:rPr>
      </w:pPr>
      <w:bookmarkStart w:id="330" w:name="_Toc404266138"/>
      <w:r>
        <w:rPr>
          <w:rFonts w:hint="eastAsia" w:ascii="仿宋" w:hAnsi="仿宋" w:eastAsia="仿宋"/>
          <w:color w:val="000000" w:themeColor="text1"/>
          <w:sz w:val="28"/>
          <w:szCs w:val="28"/>
          <w:highlight w:val="none"/>
          <w14:textFill>
            <w14:solidFill>
              <w14:schemeClr w14:val="tx1"/>
            </w14:solidFill>
          </w14:textFill>
        </w:rPr>
        <w:t>公共管理</w:t>
      </w:r>
      <w:bookmarkEnd w:id="330"/>
    </w:p>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该子系统主要包括公告管理、消息查看、在线用户管理、密码修改、系统注销、用户切换等功能。</w:t>
      </w:r>
    </w:p>
    <w:p>
      <w:pPr>
        <w:pStyle w:val="4"/>
        <w:widowControl/>
        <w:numPr>
          <w:ilvl w:val="2"/>
          <w:numId w:val="0"/>
        </w:numPr>
        <w:adjustRightInd w:val="0"/>
        <w:snapToGrid w:val="0"/>
        <w:spacing w:before="156" w:beforeLines="50" w:after="156" w:afterLines="50" w:line="360" w:lineRule="auto"/>
        <w:ind w:left="709" w:hanging="709"/>
        <w:jc w:val="left"/>
        <w:rPr>
          <w:rFonts w:ascii="仿宋" w:hAnsi="仿宋" w:eastAsia="仿宋"/>
          <w:color w:val="000000" w:themeColor="text1"/>
          <w:sz w:val="28"/>
          <w:szCs w:val="28"/>
          <w:highlight w:val="none"/>
          <w14:textFill>
            <w14:solidFill>
              <w14:schemeClr w14:val="tx1"/>
            </w14:solidFill>
          </w14:textFill>
        </w:rPr>
      </w:pPr>
      <w:bookmarkStart w:id="331" w:name="_Toc404266139"/>
      <w:r>
        <w:rPr>
          <w:rFonts w:hint="eastAsia" w:ascii="仿宋" w:hAnsi="仿宋" w:eastAsia="仿宋"/>
          <w:color w:val="000000" w:themeColor="text1"/>
          <w:sz w:val="28"/>
          <w:szCs w:val="28"/>
          <w:highlight w:val="none"/>
          <w14:textFill>
            <w14:solidFill>
              <w14:schemeClr w14:val="tx1"/>
            </w14:solidFill>
          </w14:textFill>
        </w:rPr>
        <w:t>系统配置</w:t>
      </w:r>
      <w:bookmarkEnd w:id="331"/>
    </w:p>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该子系统主要包括机构管理、机构集配置、角色管理、主页管理、流程（工作流）管理、参数管理等功能。</w:t>
      </w:r>
    </w:p>
    <w:p>
      <w:pPr>
        <w:rPr>
          <w:rFonts w:ascii="仿宋" w:hAnsi="仿宋" w:eastAsia="仿宋"/>
          <w:color w:val="000000" w:themeColor="text1"/>
          <w:sz w:val="28"/>
          <w:szCs w:val="28"/>
          <w:highlight w:val="none"/>
          <w14:textFill>
            <w14:solidFill>
              <w14:schemeClr w14:val="tx1"/>
            </w14:solidFill>
          </w14:textFill>
        </w:rPr>
      </w:pPr>
    </w:p>
    <w:p>
      <w:pPr>
        <w:pStyle w:val="297"/>
        <w:keepLines/>
        <w:widowControl/>
        <w:numPr>
          <w:ilvl w:val="0"/>
          <w:numId w:val="25"/>
        </w:numPr>
        <w:autoSpaceDE w:val="0"/>
        <w:autoSpaceDN w:val="0"/>
        <w:adjustRightInd w:val="0"/>
        <w:snapToGrid w:val="0"/>
        <w:spacing w:before="156" w:beforeLines="50" w:after="156" w:afterLines="50"/>
        <w:ind w:firstLineChars="0"/>
        <w:outlineLvl w:val="1"/>
        <w:rPr>
          <w:rFonts w:ascii="Times" w:hAnsi="Times" w:eastAsia="黑体"/>
          <w:b/>
          <w:vanish/>
          <w:color w:val="000000" w:themeColor="text1"/>
          <w:sz w:val="28"/>
          <w:szCs w:val="28"/>
          <w:highlight w:val="none"/>
          <w14:textFill>
            <w14:solidFill>
              <w14:schemeClr w14:val="tx1"/>
            </w14:solidFill>
          </w14:textFill>
        </w:rPr>
      </w:pPr>
      <w:bookmarkStart w:id="332" w:name="_Toc404265272"/>
      <w:bookmarkEnd w:id="332"/>
      <w:bookmarkStart w:id="333" w:name="_Toc404266141"/>
      <w:bookmarkEnd w:id="333"/>
      <w:bookmarkStart w:id="334" w:name="_Toc404239099"/>
      <w:bookmarkEnd w:id="334"/>
      <w:bookmarkStart w:id="335" w:name="_Toc404239043"/>
      <w:bookmarkEnd w:id="335"/>
      <w:bookmarkStart w:id="336" w:name="_Toc403732695"/>
      <w:bookmarkEnd w:id="336"/>
      <w:bookmarkStart w:id="337" w:name="_Toc403743488"/>
      <w:bookmarkEnd w:id="337"/>
      <w:bookmarkStart w:id="338" w:name="_Toc403940314"/>
      <w:bookmarkEnd w:id="338"/>
    </w:p>
    <w:p>
      <w:pPr>
        <w:pStyle w:val="297"/>
        <w:keepLines/>
        <w:widowControl/>
        <w:autoSpaceDE w:val="0"/>
        <w:autoSpaceDN w:val="0"/>
        <w:adjustRightInd w:val="0"/>
        <w:snapToGrid w:val="0"/>
        <w:spacing w:before="156" w:beforeLines="50" w:after="156" w:afterLines="50"/>
        <w:ind w:left="425" w:hanging="425" w:firstLineChars="0"/>
        <w:outlineLvl w:val="1"/>
        <w:rPr>
          <w:rFonts w:ascii="Times" w:hAnsi="Times" w:eastAsia="黑体"/>
          <w:b/>
          <w:vanish/>
          <w:color w:val="000000" w:themeColor="text1"/>
          <w:sz w:val="28"/>
          <w:szCs w:val="28"/>
          <w:highlight w:val="none"/>
          <w14:textFill>
            <w14:solidFill>
              <w14:schemeClr w14:val="tx1"/>
            </w14:solidFill>
          </w14:textFill>
        </w:rPr>
      </w:pPr>
      <w:bookmarkStart w:id="339" w:name="_Toc403732696"/>
      <w:bookmarkEnd w:id="339"/>
      <w:bookmarkStart w:id="340" w:name="_Toc403743489"/>
      <w:bookmarkEnd w:id="340"/>
      <w:bookmarkStart w:id="341" w:name="_Toc403940315"/>
      <w:bookmarkEnd w:id="341"/>
      <w:bookmarkStart w:id="342" w:name="_Toc404239044"/>
      <w:bookmarkEnd w:id="342"/>
      <w:bookmarkStart w:id="343" w:name="_Toc404239100"/>
      <w:bookmarkEnd w:id="343"/>
      <w:bookmarkStart w:id="344" w:name="_Toc404265273"/>
      <w:bookmarkEnd w:id="344"/>
      <w:bookmarkStart w:id="345" w:name="_Toc404266142"/>
      <w:bookmarkEnd w:id="345"/>
    </w:p>
    <w:p>
      <w:pPr>
        <w:autoSpaceDE w:val="0"/>
        <w:adjustRightInd w:val="0"/>
        <w:snapToGrid w:val="0"/>
        <w:spacing w:line="360" w:lineRule="auto"/>
        <w:ind w:left="360"/>
        <w:jc w:val="left"/>
        <w:rPr>
          <w:rFonts w:ascii="仿宋" w:hAnsi="仿宋" w:eastAsia="仿宋"/>
          <w:color w:val="000000" w:themeColor="text1"/>
          <w:sz w:val="28"/>
          <w:szCs w:val="28"/>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pStyle w:val="2"/>
        <w:numPr>
          <w:ilvl w:val="0"/>
          <w:numId w:val="17"/>
        </w:numPr>
        <w:tabs>
          <w:tab w:val="left" w:pos="720"/>
        </w:tabs>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实施计划</w:t>
      </w:r>
    </w:p>
    <w:tbl>
      <w:tblPr>
        <w:tblStyle w:val="58"/>
        <w:tblW w:w="8175" w:type="dxa"/>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00"/>
        <w:gridCol w:w="2700"/>
        <w:gridCol w:w="2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trPr>
        <w:tc>
          <w:tcPr>
            <w:tcW w:w="3300" w:type="dxa"/>
            <w:tcBorders>
              <w:right w:val="single" w:color="auto" w:sz="4" w:space="0"/>
            </w:tcBorders>
            <w:shd w:val="pct10" w:color="auto" w:fill="auto"/>
          </w:tcPr>
          <w:p>
            <w:pPr>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实施内容</w:t>
            </w:r>
          </w:p>
        </w:tc>
        <w:tc>
          <w:tcPr>
            <w:tcW w:w="2700" w:type="dxa"/>
            <w:shd w:val="pct10" w:color="auto" w:fill="auto"/>
          </w:tcPr>
          <w:p>
            <w:pPr>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工期</w:t>
            </w:r>
          </w:p>
        </w:tc>
        <w:tc>
          <w:tcPr>
            <w:tcW w:w="2175" w:type="dxa"/>
            <w:shd w:val="pct10" w:color="auto" w:fill="auto"/>
          </w:tcPr>
          <w:p>
            <w:pPr>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 w:hRule="atLeast"/>
        </w:trPr>
        <w:tc>
          <w:tcPr>
            <w:tcW w:w="3300" w:type="dxa"/>
            <w:tcBorders>
              <w:right w:val="single" w:color="auto" w:sz="4" w:space="0"/>
            </w:tcBorders>
          </w:tcPr>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完成立项及招标工作</w:t>
            </w:r>
          </w:p>
        </w:tc>
        <w:tc>
          <w:tcPr>
            <w:tcW w:w="2700" w:type="dxa"/>
          </w:tcPr>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1个月</w:t>
            </w:r>
          </w:p>
        </w:tc>
        <w:tc>
          <w:tcPr>
            <w:tcW w:w="2175" w:type="dxa"/>
          </w:tcPr>
          <w:p>
            <w:pPr>
              <w:rPr>
                <w:rFonts w:ascii="仿宋" w:hAnsi="仿宋" w:eastAsia="仿宋"/>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trPr>
        <w:tc>
          <w:tcPr>
            <w:tcW w:w="3300" w:type="dxa"/>
            <w:tcBorders>
              <w:right w:val="single" w:color="auto" w:sz="4" w:space="0"/>
            </w:tcBorders>
          </w:tcPr>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项目实施阶段</w:t>
            </w:r>
          </w:p>
        </w:tc>
        <w:tc>
          <w:tcPr>
            <w:tcW w:w="2700" w:type="dxa"/>
          </w:tcPr>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7个月</w:t>
            </w:r>
          </w:p>
        </w:tc>
        <w:tc>
          <w:tcPr>
            <w:tcW w:w="2175" w:type="dxa"/>
          </w:tcPr>
          <w:p>
            <w:pPr>
              <w:rPr>
                <w:rFonts w:ascii="仿宋" w:hAnsi="仿宋" w:eastAsia="仿宋"/>
                <w:color w:val="000000" w:themeColor="text1"/>
                <w:sz w:val="28"/>
                <w:szCs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31" w:hRule="atLeast"/>
        </w:trPr>
        <w:tc>
          <w:tcPr>
            <w:tcW w:w="3300" w:type="dxa"/>
            <w:tcBorders>
              <w:right w:val="single" w:color="auto" w:sz="4" w:space="0"/>
            </w:tcBorders>
          </w:tcPr>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上线试运行</w:t>
            </w:r>
          </w:p>
        </w:tc>
        <w:tc>
          <w:tcPr>
            <w:tcW w:w="2700" w:type="dxa"/>
          </w:tcPr>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3个月</w:t>
            </w:r>
          </w:p>
        </w:tc>
        <w:tc>
          <w:tcPr>
            <w:tcW w:w="2175" w:type="dxa"/>
          </w:tcPr>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人行大集中和银监1104主题的报表完成后即上线试运行，其它模块完成后分期上线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52" w:hRule="atLeast"/>
        </w:trPr>
        <w:tc>
          <w:tcPr>
            <w:tcW w:w="3300" w:type="dxa"/>
            <w:tcBorders>
              <w:top w:val="single" w:color="auto" w:sz="4" w:space="0"/>
              <w:right w:val="single" w:color="auto" w:sz="4" w:space="0"/>
            </w:tcBorders>
          </w:tcPr>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运行维护</w:t>
            </w:r>
          </w:p>
        </w:tc>
        <w:tc>
          <w:tcPr>
            <w:tcW w:w="2700" w:type="dxa"/>
            <w:tcBorders>
              <w:top w:val="single" w:color="auto" w:sz="4" w:space="0"/>
            </w:tcBorders>
          </w:tcPr>
          <w:p>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1年</w:t>
            </w:r>
          </w:p>
        </w:tc>
        <w:tc>
          <w:tcPr>
            <w:tcW w:w="2175" w:type="dxa"/>
            <w:tcBorders>
              <w:top w:val="single" w:color="auto" w:sz="4" w:space="0"/>
            </w:tcBorders>
          </w:tcPr>
          <w:p>
            <w:pPr>
              <w:rPr>
                <w:rFonts w:ascii="仿宋" w:hAnsi="仿宋" w:eastAsia="仿宋"/>
                <w:color w:val="000000" w:themeColor="text1"/>
                <w:sz w:val="28"/>
                <w:szCs w:val="28"/>
                <w:highlight w:val="none"/>
                <w14:textFill>
                  <w14:solidFill>
                    <w14:schemeClr w14:val="tx1"/>
                  </w14:solidFill>
                </w14:textFill>
              </w:rPr>
            </w:pPr>
          </w:p>
        </w:tc>
      </w:tr>
    </w:tbl>
    <w:p>
      <w:pPr>
        <w:pStyle w:val="2"/>
        <w:keepNext w:val="0"/>
        <w:keepLines w:val="0"/>
        <w:tabs>
          <w:tab w:val="left" w:pos="720"/>
        </w:tabs>
        <w:ind w:firstLine="883"/>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widowControl/>
        <w:jc w:val="left"/>
        <w:rPr>
          <w:rFonts w:ascii="Times New Roman" w:hAnsi="Times New Roman" w:eastAsia="仿宋" w:cs="Times New Roman"/>
          <w:b/>
          <w:bCs/>
          <w:color w:val="000000" w:themeColor="text1"/>
          <w:kern w:val="0"/>
          <w:sz w:val="30"/>
          <w:szCs w:val="30"/>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DLRIFU+ËÎÌå">
    <w:altName w:val="Microsoft Sans Serif"/>
    <w:panose1 w:val="00000000000000000000"/>
    <w:charset w:val="01"/>
    <w:family w:val="auto"/>
    <w:pitch w:val="default"/>
    <w:sig w:usb0="00000000" w:usb1="00000000" w:usb2="01010101" w:usb3="01010101" w:csb0="01010101" w:csb1="01010101"/>
  </w:font>
  <w:font w:name="KLRFJD+ËÎÌå">
    <w:altName w:val="Segoe Print"/>
    <w:panose1 w:val="00000000000000000000"/>
    <w:charset w:val="01"/>
    <w:family w:val="auto"/>
    <w:pitch w:val="default"/>
    <w:sig w:usb0="00000000" w:usb1="00000000" w:usb2="01010101" w:usb3="01010101" w:csb0="01010101" w:csb1="01010101"/>
  </w:font>
  <w:font w:name="LJETLA+ËÎÌå">
    <w:altName w:val="Microsoft Sans Serif"/>
    <w:panose1 w:val="00000000000000000000"/>
    <w:charset w:val="01"/>
    <w:family w:val="auto"/>
    <w:pitch w:val="default"/>
    <w:sig w:usb0="00000000" w:usb1="00000000" w:usb2="01010101" w:usb3="01010101" w:csb0="01010101" w:csb1="01010101"/>
  </w:font>
  <w:font w:name="新宋体">
    <w:panose1 w:val="02010609030101010101"/>
    <w:charset w:val="86"/>
    <w:family w:val="modern"/>
    <w:pitch w:val="default"/>
    <w:sig w:usb0="00000003" w:usb1="288F0000" w:usb2="0000000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1"/>
    <w:family w:val="auto"/>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swiss"/>
    <w:pitch w:val="default"/>
    <w:sig w:usb0="A00002EF" w:usb1="4000A44B"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9F" w:csb1="00000000"/>
  </w:font>
  <w:font w:name="MGKSBI+ËÎÌå">
    <w:altName w:val="Segoe Print"/>
    <w:panose1 w:val="00000000000000000000"/>
    <w:charset w:val="01"/>
    <w:family w:val="auto"/>
    <w:pitch w:val="default"/>
    <w:sig w:usb0="00000000" w:usb1="00000000" w:usb2="01010101" w:usb3="01010101" w:csb0="01010101" w:csb1="01010101"/>
  </w:font>
  <w:font w:name="方正楷体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sz w:val="21"/>
        <w:szCs w:val="21"/>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sz w:val="21"/>
        <w:szCs w:val="21"/>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21</w:t>
    </w:r>
    <w:r>
      <w:rPr>
        <w:rFonts w:ascii="Times New Roman" w:hAnsi="Times New Roman" w:cs="Times New Roman"/>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b/>
        <w:bCs/>
        <w:sz w:val="24"/>
        <w:szCs w:val="24"/>
      </w:rPr>
      <w:fldChar w:fldCharType="begin"/>
    </w:r>
    <w:r>
      <w:rPr>
        <w:b/>
        <w:bCs/>
      </w:rPr>
      <w:instrText xml:space="preserve">PAGE</w:instrText>
    </w:r>
    <w:r>
      <w:rPr>
        <w:b/>
        <w:bCs/>
        <w:sz w:val="24"/>
        <w:szCs w:val="24"/>
      </w:rPr>
      <w:fldChar w:fldCharType="separate"/>
    </w:r>
    <w:r>
      <w:rPr>
        <w:b/>
        <w:bCs/>
      </w:rPr>
      <w:t>46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48</w:t>
    </w:r>
    <w:r>
      <w:rPr>
        <w:b/>
        <w:bCs/>
        <w:sz w:val="24"/>
        <w:szCs w:val="24"/>
      </w:rPr>
      <w:fldChar w:fldCharType="end"/>
    </w:r>
  </w:p>
  <w:p>
    <w:pPr>
      <w:pStyle w:val="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sz w:val="21"/>
        <w:szCs w:val="21"/>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78</w:t>
    </w:r>
    <w:r>
      <w:rPr>
        <w:rFonts w:ascii="Times New Roman" w:hAnsi="Times New Roman" w:cs="Times New Roman"/>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lef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left"/>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left"/>
      <w:rPr>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singleLevel"/>
    <w:tmpl w:val="00000036"/>
    <w:lvl w:ilvl="0" w:tentative="0">
      <w:start w:val="1"/>
      <w:numFmt w:val="decimal"/>
      <w:pStyle w:val="285"/>
      <w:suff w:val="nothing"/>
      <w:lvlText w:val="%1、"/>
      <w:lvlJc w:val="left"/>
    </w:lvl>
  </w:abstractNum>
  <w:abstractNum w:abstractNumId="1">
    <w:nsid w:val="0000003B"/>
    <w:multiLevelType w:val="multilevel"/>
    <w:tmpl w:val="0000003B"/>
    <w:lvl w:ilvl="0" w:tentative="0">
      <w:start w:val="1"/>
      <w:numFmt w:val="decimal"/>
      <w:pStyle w:val="28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37454D"/>
    <w:multiLevelType w:val="multilevel"/>
    <w:tmpl w:val="0137454D"/>
    <w:lvl w:ilvl="0" w:tentative="0">
      <w:start w:val="1"/>
      <w:numFmt w:val="bullet"/>
      <w:pStyle w:val="240"/>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
    <w:nsid w:val="05C57C7C"/>
    <w:multiLevelType w:val="multilevel"/>
    <w:tmpl w:val="05C57C7C"/>
    <w:lvl w:ilvl="0" w:tentative="0">
      <w:start w:val="1"/>
      <w:numFmt w:val="decimal"/>
      <w:pStyle w:val="268"/>
      <w:lvlText w:val="%1、"/>
      <w:lvlJc w:val="left"/>
      <w:pPr>
        <w:ind w:left="600" w:hanging="420"/>
      </w:pPr>
      <w:rPr>
        <w:rFonts w:hint="eastAsia"/>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4">
    <w:nsid w:val="05EA05DB"/>
    <w:multiLevelType w:val="multilevel"/>
    <w:tmpl w:val="05EA05DB"/>
    <w:lvl w:ilvl="0" w:tentative="0">
      <w:start w:val="1"/>
      <w:numFmt w:val="chineseCountingThousand"/>
      <w:lvlText w:val="%1、"/>
      <w:lvlJc w:val="left"/>
      <w:pPr>
        <w:tabs>
          <w:tab w:val="left" w:pos="420"/>
        </w:tabs>
        <w:ind w:left="420" w:hanging="420"/>
      </w:pPr>
    </w:lvl>
    <w:lvl w:ilvl="1" w:tentative="0">
      <w:start w:val="1"/>
      <w:numFmt w:val="chineseCountingThousand"/>
      <w:lvlText w:val="(%2)"/>
      <w:lvlJc w:val="left"/>
      <w:pPr>
        <w:tabs>
          <w:tab w:val="left" w:pos="840"/>
        </w:tabs>
        <w:ind w:left="840" w:hanging="727"/>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0C917E8"/>
    <w:multiLevelType w:val="multilevel"/>
    <w:tmpl w:val="10C917E8"/>
    <w:lvl w:ilvl="0" w:tentative="0">
      <w:start w:val="1"/>
      <w:numFmt w:val="decimal"/>
      <w:lvlText w:val="%1、"/>
      <w:lvlJc w:val="left"/>
      <w:pPr>
        <w:tabs>
          <w:tab w:val="left" w:pos="874"/>
        </w:tabs>
        <w:ind w:left="958" w:hanging="538"/>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94"/>
        </w:tabs>
        <w:ind w:left="1378" w:hanging="538"/>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4606717"/>
    <w:multiLevelType w:val="multilevel"/>
    <w:tmpl w:val="14606717"/>
    <w:lvl w:ilvl="0" w:tentative="0">
      <w:start w:val="2"/>
      <w:numFmt w:val="japaneseCounting"/>
      <w:pStyle w:val="255"/>
      <w:lvlText w:val="%1、"/>
      <w:lvlJc w:val="left"/>
      <w:pPr>
        <w:tabs>
          <w:tab w:val="left" w:pos="420"/>
        </w:tabs>
        <w:ind w:left="420" w:hanging="420"/>
      </w:pPr>
      <w:rPr>
        <w:rFonts w:hint="default"/>
        <w:b/>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japaneseCounting"/>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8162C19"/>
    <w:multiLevelType w:val="multilevel"/>
    <w:tmpl w:val="18162C19"/>
    <w:lvl w:ilvl="0" w:tentative="0">
      <w:start w:val="1"/>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E566870"/>
    <w:multiLevelType w:val="multilevel"/>
    <w:tmpl w:val="2E566870"/>
    <w:lvl w:ilvl="0" w:tentative="0">
      <w:start w:val="1"/>
      <w:numFmt w:val="bullet"/>
      <w:pStyle w:val="248"/>
      <w:lvlText w:val=""/>
      <w:lvlJc w:val="left"/>
      <w:pPr>
        <w:ind w:left="986" w:hanging="420"/>
      </w:pPr>
      <w:rPr>
        <w:rFonts w:hint="default" w:ascii="Wingdings" w:hAnsi="Wingdings"/>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9">
    <w:nsid w:val="2FEB1946"/>
    <w:multiLevelType w:val="multilevel"/>
    <w:tmpl w:val="2FEB194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7.%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3736626B"/>
    <w:multiLevelType w:val="multilevel"/>
    <w:tmpl w:val="3736626B"/>
    <w:lvl w:ilvl="0" w:tentative="0">
      <w:start w:val="1"/>
      <w:numFmt w:val="japaneseCounting"/>
      <w:lvlText w:val="第%1条"/>
      <w:lvlJc w:val="left"/>
      <w:pPr>
        <w:ind w:left="1980" w:hanging="420"/>
      </w:pPr>
      <w:rPr>
        <w:rFonts w:hint="eastAsia"/>
        <w:b/>
        <w:color w:val="auto"/>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11">
    <w:nsid w:val="3E5B72AD"/>
    <w:multiLevelType w:val="multilevel"/>
    <w:tmpl w:val="3E5B72A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410B08DA"/>
    <w:multiLevelType w:val="multilevel"/>
    <w:tmpl w:val="410B08DA"/>
    <w:lvl w:ilvl="0" w:tentative="0">
      <w:start w:val="1"/>
      <w:numFmt w:val="decimal"/>
      <w:pStyle w:val="241"/>
      <w:lvlText w:val="（%1）"/>
      <w:lvlJc w:val="left"/>
      <w:pPr>
        <w:ind w:left="1559" w:hanging="720"/>
      </w:pPr>
      <w:rPr>
        <w:rFonts w:hint="default"/>
      </w:rPr>
    </w:lvl>
    <w:lvl w:ilvl="1" w:tentative="0">
      <w:start w:val="1"/>
      <w:numFmt w:val="lowerLetter"/>
      <w:lvlText w:val="%2)"/>
      <w:lvlJc w:val="left"/>
      <w:pPr>
        <w:ind w:left="1679" w:hanging="420"/>
      </w:pPr>
    </w:lvl>
    <w:lvl w:ilvl="2" w:tentative="0">
      <w:start w:val="1"/>
      <w:numFmt w:val="lowerRoman"/>
      <w:pStyle w:val="254"/>
      <w:lvlText w:val="%3."/>
      <w:lvlJc w:val="right"/>
      <w:pPr>
        <w:ind w:left="2099" w:hanging="420"/>
      </w:pPr>
    </w:lvl>
    <w:lvl w:ilvl="3" w:tentative="0">
      <w:start w:val="1"/>
      <w:numFmt w:val="decimal"/>
      <w:pStyle w:val="229"/>
      <w:lvlText w:val="%4."/>
      <w:lvlJc w:val="left"/>
      <w:pPr>
        <w:ind w:left="2519" w:hanging="420"/>
      </w:pPr>
    </w:lvl>
    <w:lvl w:ilvl="4" w:tentative="0">
      <w:start w:val="1"/>
      <w:numFmt w:val="lowerLetter"/>
      <w:pStyle w:val="234"/>
      <w:lvlText w:val="%5)"/>
      <w:lvlJc w:val="left"/>
      <w:pPr>
        <w:ind w:left="2939" w:hanging="420"/>
      </w:pPr>
    </w:lvl>
    <w:lvl w:ilvl="5" w:tentative="0">
      <w:start w:val="1"/>
      <w:numFmt w:val="lowerRoman"/>
      <w:pStyle w:val="257"/>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13">
    <w:nsid w:val="4E303B94"/>
    <w:multiLevelType w:val="multilevel"/>
    <w:tmpl w:val="4E303B94"/>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4">
    <w:nsid w:val="55393CFB"/>
    <w:multiLevelType w:val="multilevel"/>
    <w:tmpl w:val="55393CFB"/>
    <w:lvl w:ilvl="0" w:tentative="0">
      <w:start w:val="1"/>
      <w:numFmt w:val="japaneseCounting"/>
      <w:pStyle w:val="263"/>
      <w:lvlText w:val="%1、"/>
      <w:lvlJc w:val="left"/>
      <w:pPr>
        <w:tabs>
          <w:tab w:val="left" w:pos="360"/>
        </w:tabs>
        <w:ind w:left="360" w:hanging="36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62F08AA"/>
    <w:multiLevelType w:val="multilevel"/>
    <w:tmpl w:val="562F08AA"/>
    <w:lvl w:ilvl="0" w:tentative="0">
      <w:start w:val="1"/>
      <w:numFmt w:val="chineseCountingThousand"/>
      <w:pStyle w:val="21"/>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CC7ED63"/>
    <w:multiLevelType w:val="singleLevel"/>
    <w:tmpl w:val="5CC7ED63"/>
    <w:lvl w:ilvl="0" w:tentative="0">
      <w:start w:val="1"/>
      <w:numFmt w:val="decimal"/>
      <w:suff w:val="nothing"/>
      <w:lvlText w:val="（%1）"/>
      <w:lvlJc w:val="left"/>
    </w:lvl>
  </w:abstractNum>
  <w:abstractNum w:abstractNumId="17">
    <w:nsid w:val="5CEA5D7C"/>
    <w:multiLevelType w:val="singleLevel"/>
    <w:tmpl w:val="5CEA5D7C"/>
    <w:lvl w:ilvl="0" w:tentative="0">
      <w:start w:val="1"/>
      <w:numFmt w:val="decimal"/>
      <w:suff w:val="nothing"/>
      <w:lvlText w:val="%1、"/>
      <w:lvlJc w:val="left"/>
    </w:lvl>
  </w:abstractNum>
  <w:abstractNum w:abstractNumId="18">
    <w:nsid w:val="5CEA5D91"/>
    <w:multiLevelType w:val="singleLevel"/>
    <w:tmpl w:val="5CEA5D91"/>
    <w:lvl w:ilvl="0" w:tentative="0">
      <w:start w:val="1"/>
      <w:numFmt w:val="decimal"/>
      <w:suff w:val="nothing"/>
      <w:lvlText w:val="（%1）"/>
      <w:lvlJc w:val="left"/>
    </w:lvl>
  </w:abstractNum>
  <w:abstractNum w:abstractNumId="19">
    <w:nsid w:val="5CEA5DDC"/>
    <w:multiLevelType w:val="singleLevel"/>
    <w:tmpl w:val="5CEA5DDC"/>
    <w:lvl w:ilvl="0" w:tentative="0">
      <w:start w:val="2"/>
      <w:numFmt w:val="decimal"/>
      <w:suff w:val="nothing"/>
      <w:lvlText w:val="%1、"/>
      <w:lvlJc w:val="left"/>
    </w:lvl>
  </w:abstractNum>
  <w:abstractNum w:abstractNumId="20">
    <w:nsid w:val="5CEBAA04"/>
    <w:multiLevelType w:val="singleLevel"/>
    <w:tmpl w:val="5CEBAA04"/>
    <w:lvl w:ilvl="0" w:tentative="0">
      <w:start w:val="1"/>
      <w:numFmt w:val="decimal"/>
      <w:suff w:val="nothing"/>
      <w:lvlText w:val="（%1）"/>
      <w:lvlJc w:val="left"/>
    </w:lvl>
  </w:abstractNum>
  <w:abstractNum w:abstractNumId="21">
    <w:nsid w:val="66797E9B"/>
    <w:multiLevelType w:val="multilevel"/>
    <w:tmpl w:val="66797E9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6BC368B5"/>
    <w:multiLevelType w:val="multilevel"/>
    <w:tmpl w:val="6BC368B5"/>
    <w:lvl w:ilvl="0" w:tentative="0">
      <w:start w:val="1"/>
      <w:numFmt w:val="decimal"/>
      <w:pStyle w:val="242"/>
      <w:lvlText w:val="%1、"/>
      <w:lvlJc w:val="left"/>
      <w:pPr>
        <w:ind w:left="846" w:hanging="420"/>
      </w:pPr>
      <w:rPr>
        <w:rFonts w:hint="default"/>
        <w:sz w:val="30"/>
        <w:szCs w:val="30"/>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3">
    <w:nsid w:val="773F7A51"/>
    <w:multiLevelType w:val="multilevel"/>
    <w:tmpl w:val="773F7A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FC3289E"/>
    <w:multiLevelType w:val="multilevel"/>
    <w:tmpl w:val="7FC3289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2"/>
  </w:num>
  <w:num w:numId="5">
    <w:abstractNumId w:val="8"/>
  </w:num>
  <w:num w:numId="6">
    <w:abstractNumId w:val="6"/>
  </w:num>
  <w:num w:numId="7">
    <w:abstractNumId w:val="14"/>
  </w:num>
  <w:num w:numId="8">
    <w:abstractNumId w:val="3"/>
  </w:num>
  <w:num w:numId="9">
    <w:abstractNumId w:val="0"/>
  </w:num>
  <w:num w:numId="10">
    <w:abstractNumId w:val="1"/>
  </w:num>
  <w:num w:numId="11">
    <w:abstractNumId w:val="17"/>
  </w:num>
  <w:num w:numId="12">
    <w:abstractNumId w:val="18"/>
  </w:num>
  <w:num w:numId="13">
    <w:abstractNumId w:val="19"/>
  </w:num>
  <w:num w:numId="14">
    <w:abstractNumId w:val="16"/>
  </w:num>
  <w:num w:numId="15">
    <w:abstractNumId w:val="20"/>
  </w:num>
  <w:num w:numId="16">
    <w:abstractNumId w:val="10"/>
  </w:num>
  <w:num w:numId="17">
    <w:abstractNumId w:val="4"/>
  </w:num>
  <w:num w:numId="18">
    <w:abstractNumId w:val="5"/>
  </w:num>
  <w:num w:numId="19">
    <w:abstractNumId w:val="13"/>
  </w:num>
  <w:num w:numId="20">
    <w:abstractNumId w:val="24"/>
  </w:num>
  <w:num w:numId="21">
    <w:abstractNumId w:val="23"/>
  </w:num>
  <w:num w:numId="22">
    <w:abstractNumId w:val="7"/>
  </w:num>
  <w:num w:numId="23">
    <w:abstractNumId w:val="9"/>
  </w:num>
  <w:num w:numId="24">
    <w:abstractNumId w:val="2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47"/>
    <w:rsid w:val="00014810"/>
    <w:rsid w:val="000178D8"/>
    <w:rsid w:val="00027805"/>
    <w:rsid w:val="0004376D"/>
    <w:rsid w:val="0005380A"/>
    <w:rsid w:val="00074793"/>
    <w:rsid w:val="00077701"/>
    <w:rsid w:val="00084145"/>
    <w:rsid w:val="000966C5"/>
    <w:rsid w:val="000A6763"/>
    <w:rsid w:val="000D07E4"/>
    <w:rsid w:val="000E3921"/>
    <w:rsid w:val="000E79E8"/>
    <w:rsid w:val="00110997"/>
    <w:rsid w:val="00113A07"/>
    <w:rsid w:val="00125A00"/>
    <w:rsid w:val="00125D3E"/>
    <w:rsid w:val="001326E1"/>
    <w:rsid w:val="00155D80"/>
    <w:rsid w:val="00156634"/>
    <w:rsid w:val="00167A2F"/>
    <w:rsid w:val="0017022B"/>
    <w:rsid w:val="00172369"/>
    <w:rsid w:val="00182531"/>
    <w:rsid w:val="00195A36"/>
    <w:rsid w:val="001D2110"/>
    <w:rsid w:val="001D3424"/>
    <w:rsid w:val="00206356"/>
    <w:rsid w:val="00211FEA"/>
    <w:rsid w:val="00215A8A"/>
    <w:rsid w:val="0022050C"/>
    <w:rsid w:val="00230CB4"/>
    <w:rsid w:val="0024706D"/>
    <w:rsid w:val="00267708"/>
    <w:rsid w:val="00284AC9"/>
    <w:rsid w:val="00291611"/>
    <w:rsid w:val="002B473A"/>
    <w:rsid w:val="002B5789"/>
    <w:rsid w:val="002C0E65"/>
    <w:rsid w:val="002E0555"/>
    <w:rsid w:val="003201D5"/>
    <w:rsid w:val="00320C3B"/>
    <w:rsid w:val="00363603"/>
    <w:rsid w:val="0036641F"/>
    <w:rsid w:val="00383AB0"/>
    <w:rsid w:val="003A5AE7"/>
    <w:rsid w:val="003A6F14"/>
    <w:rsid w:val="003C2698"/>
    <w:rsid w:val="003C41A6"/>
    <w:rsid w:val="003E45A0"/>
    <w:rsid w:val="003E61EB"/>
    <w:rsid w:val="003F638E"/>
    <w:rsid w:val="00407482"/>
    <w:rsid w:val="00416E09"/>
    <w:rsid w:val="00423F02"/>
    <w:rsid w:val="00423F16"/>
    <w:rsid w:val="0043199B"/>
    <w:rsid w:val="004758B6"/>
    <w:rsid w:val="004903B5"/>
    <w:rsid w:val="004938CB"/>
    <w:rsid w:val="004B0D84"/>
    <w:rsid w:val="004B1659"/>
    <w:rsid w:val="004B16C1"/>
    <w:rsid w:val="004B4154"/>
    <w:rsid w:val="004C658A"/>
    <w:rsid w:val="004F7EDD"/>
    <w:rsid w:val="00505A91"/>
    <w:rsid w:val="005250FD"/>
    <w:rsid w:val="0053308C"/>
    <w:rsid w:val="00556DC8"/>
    <w:rsid w:val="00557BC4"/>
    <w:rsid w:val="005851D2"/>
    <w:rsid w:val="00587531"/>
    <w:rsid w:val="00591840"/>
    <w:rsid w:val="005A140E"/>
    <w:rsid w:val="005B4838"/>
    <w:rsid w:val="005B5D81"/>
    <w:rsid w:val="005B7FC9"/>
    <w:rsid w:val="005C42EB"/>
    <w:rsid w:val="005D665F"/>
    <w:rsid w:val="005E74A5"/>
    <w:rsid w:val="00600E24"/>
    <w:rsid w:val="0060229F"/>
    <w:rsid w:val="00604FD9"/>
    <w:rsid w:val="00616D35"/>
    <w:rsid w:val="00635B23"/>
    <w:rsid w:val="00641C6A"/>
    <w:rsid w:val="00663FF5"/>
    <w:rsid w:val="006669FA"/>
    <w:rsid w:val="00672CA4"/>
    <w:rsid w:val="00697521"/>
    <w:rsid w:val="006A746C"/>
    <w:rsid w:val="006C0DD8"/>
    <w:rsid w:val="006C1E0E"/>
    <w:rsid w:val="006E63D8"/>
    <w:rsid w:val="006F34D8"/>
    <w:rsid w:val="006F3A02"/>
    <w:rsid w:val="006F3AEA"/>
    <w:rsid w:val="007216DF"/>
    <w:rsid w:val="00722777"/>
    <w:rsid w:val="00736493"/>
    <w:rsid w:val="00742912"/>
    <w:rsid w:val="0075593F"/>
    <w:rsid w:val="00780496"/>
    <w:rsid w:val="007933F4"/>
    <w:rsid w:val="007B13C8"/>
    <w:rsid w:val="007B4742"/>
    <w:rsid w:val="007B7DA0"/>
    <w:rsid w:val="007D719F"/>
    <w:rsid w:val="007F4CE0"/>
    <w:rsid w:val="007F5FE6"/>
    <w:rsid w:val="007F7D04"/>
    <w:rsid w:val="00817A9D"/>
    <w:rsid w:val="00824DED"/>
    <w:rsid w:val="00842EE7"/>
    <w:rsid w:val="00845E5B"/>
    <w:rsid w:val="00880887"/>
    <w:rsid w:val="008818E1"/>
    <w:rsid w:val="00883830"/>
    <w:rsid w:val="0088671D"/>
    <w:rsid w:val="008942C9"/>
    <w:rsid w:val="00895365"/>
    <w:rsid w:val="008A3200"/>
    <w:rsid w:val="008E502D"/>
    <w:rsid w:val="008F23F5"/>
    <w:rsid w:val="00902B64"/>
    <w:rsid w:val="00932154"/>
    <w:rsid w:val="00950C93"/>
    <w:rsid w:val="00963552"/>
    <w:rsid w:val="00975C07"/>
    <w:rsid w:val="00983037"/>
    <w:rsid w:val="0098540B"/>
    <w:rsid w:val="00992239"/>
    <w:rsid w:val="009A4036"/>
    <w:rsid w:val="009B4761"/>
    <w:rsid w:val="009D15EC"/>
    <w:rsid w:val="009E4214"/>
    <w:rsid w:val="00A2566A"/>
    <w:rsid w:val="00A43F65"/>
    <w:rsid w:val="00A44F5D"/>
    <w:rsid w:val="00A64BE5"/>
    <w:rsid w:val="00AB341D"/>
    <w:rsid w:val="00AC5E7A"/>
    <w:rsid w:val="00AD0411"/>
    <w:rsid w:val="00B06338"/>
    <w:rsid w:val="00B30386"/>
    <w:rsid w:val="00B31BB4"/>
    <w:rsid w:val="00B57119"/>
    <w:rsid w:val="00B574CD"/>
    <w:rsid w:val="00BB0C71"/>
    <w:rsid w:val="00BB5D55"/>
    <w:rsid w:val="00BB782C"/>
    <w:rsid w:val="00BC2596"/>
    <w:rsid w:val="00C1362B"/>
    <w:rsid w:val="00C14A84"/>
    <w:rsid w:val="00C35516"/>
    <w:rsid w:val="00C37B7E"/>
    <w:rsid w:val="00C47551"/>
    <w:rsid w:val="00C56F1A"/>
    <w:rsid w:val="00C640C4"/>
    <w:rsid w:val="00C64424"/>
    <w:rsid w:val="00C806BA"/>
    <w:rsid w:val="00C81305"/>
    <w:rsid w:val="00C8754B"/>
    <w:rsid w:val="00CA3CE5"/>
    <w:rsid w:val="00CB19DF"/>
    <w:rsid w:val="00CB4BD2"/>
    <w:rsid w:val="00CC06F0"/>
    <w:rsid w:val="00CE57B2"/>
    <w:rsid w:val="00CF261C"/>
    <w:rsid w:val="00D42384"/>
    <w:rsid w:val="00D518AA"/>
    <w:rsid w:val="00D6437A"/>
    <w:rsid w:val="00D65EE7"/>
    <w:rsid w:val="00D8337A"/>
    <w:rsid w:val="00D87D9A"/>
    <w:rsid w:val="00D97B47"/>
    <w:rsid w:val="00DA515B"/>
    <w:rsid w:val="00DA6604"/>
    <w:rsid w:val="00DD693D"/>
    <w:rsid w:val="00DF217D"/>
    <w:rsid w:val="00E346A9"/>
    <w:rsid w:val="00E60FD6"/>
    <w:rsid w:val="00E711A6"/>
    <w:rsid w:val="00E87546"/>
    <w:rsid w:val="00ED7513"/>
    <w:rsid w:val="00EE32B0"/>
    <w:rsid w:val="00EE4144"/>
    <w:rsid w:val="00EE7F25"/>
    <w:rsid w:val="00EF30AA"/>
    <w:rsid w:val="00EF618E"/>
    <w:rsid w:val="00F067B2"/>
    <w:rsid w:val="00F11A66"/>
    <w:rsid w:val="00F35F49"/>
    <w:rsid w:val="00F636DF"/>
    <w:rsid w:val="00F85D37"/>
    <w:rsid w:val="00F97B38"/>
    <w:rsid w:val="00FA3137"/>
    <w:rsid w:val="00FA773A"/>
    <w:rsid w:val="00FB4DA2"/>
    <w:rsid w:val="00FD30ED"/>
    <w:rsid w:val="00FD6084"/>
    <w:rsid w:val="00FD6853"/>
    <w:rsid w:val="00FE442E"/>
    <w:rsid w:val="0A8E1D93"/>
    <w:rsid w:val="0CEB7674"/>
    <w:rsid w:val="15C37D77"/>
    <w:rsid w:val="1A9066D6"/>
    <w:rsid w:val="2E743F79"/>
    <w:rsid w:val="5C950A28"/>
    <w:rsid w:val="687C6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qFormat="1" w:unhideWhenUsed="0" w:uiPriority="99"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9"/>
    <w:pPr>
      <w:keepNext/>
      <w:keepLines/>
      <w:spacing w:line="360" w:lineRule="auto"/>
      <w:ind w:firstLine="200" w:firstLineChars="200"/>
      <w:outlineLvl w:val="0"/>
    </w:pPr>
    <w:rPr>
      <w:rFonts w:ascii="Calibri" w:hAnsi="Calibri" w:eastAsia="黑体" w:cs="Times New Roman"/>
      <w:b/>
      <w:bCs/>
      <w:kern w:val="44"/>
      <w:sz w:val="44"/>
      <w:szCs w:val="44"/>
    </w:rPr>
  </w:style>
  <w:style w:type="paragraph" w:styleId="3">
    <w:name w:val="heading 2"/>
    <w:basedOn w:val="1"/>
    <w:next w:val="1"/>
    <w:link w:val="63"/>
    <w:qFormat/>
    <w:uiPriority w:val="9"/>
    <w:pPr>
      <w:keepNext/>
      <w:keepLines/>
      <w:tabs>
        <w:tab w:val="left" w:pos="708"/>
      </w:tabs>
      <w:spacing w:line="360" w:lineRule="auto"/>
      <w:textAlignment w:val="baseline"/>
      <w:outlineLvl w:val="1"/>
    </w:pPr>
    <w:rPr>
      <w:rFonts w:ascii="Arial" w:hAnsi="Arial" w:eastAsia="黑体" w:cs="Times New Roman"/>
      <w:b/>
      <w:bCs/>
      <w:kern w:val="0"/>
      <w:sz w:val="28"/>
      <w:szCs w:val="32"/>
    </w:rPr>
  </w:style>
  <w:style w:type="paragraph" w:styleId="4">
    <w:name w:val="heading 3"/>
    <w:basedOn w:val="1"/>
    <w:next w:val="1"/>
    <w:link w:val="64"/>
    <w:qFormat/>
    <w:uiPriority w:val="0"/>
    <w:pPr>
      <w:keepNext/>
      <w:keepLines/>
      <w:tabs>
        <w:tab w:val="left" w:pos="1418"/>
      </w:tabs>
      <w:spacing w:before="260" w:after="260" w:line="416" w:lineRule="auto"/>
      <w:ind w:firstLine="284"/>
      <w:outlineLvl w:val="2"/>
    </w:pPr>
    <w:rPr>
      <w:rFonts w:ascii="Calibri" w:hAnsi="Calibri" w:eastAsia="宋体" w:cs="Times New Roman"/>
      <w:b/>
      <w:bCs/>
      <w:kern w:val="0"/>
      <w:sz w:val="32"/>
      <w:szCs w:val="32"/>
    </w:rPr>
  </w:style>
  <w:style w:type="paragraph" w:styleId="5">
    <w:name w:val="heading 4"/>
    <w:basedOn w:val="1"/>
    <w:next w:val="1"/>
    <w:link w:val="65"/>
    <w:qFormat/>
    <w:uiPriority w:val="0"/>
    <w:pPr>
      <w:keepNext/>
      <w:keepLines/>
      <w:spacing w:before="280" w:after="290" w:line="376" w:lineRule="auto"/>
      <w:outlineLvl w:val="3"/>
    </w:pPr>
    <w:rPr>
      <w:rFonts w:ascii="Cambria" w:hAnsi="Cambria" w:eastAsia="宋体" w:cs="Times New Roman"/>
      <w:b/>
      <w:bCs/>
      <w:kern w:val="0"/>
      <w:sz w:val="28"/>
      <w:szCs w:val="28"/>
    </w:rPr>
  </w:style>
  <w:style w:type="paragraph" w:styleId="6">
    <w:name w:val="heading 5"/>
    <w:basedOn w:val="1"/>
    <w:next w:val="1"/>
    <w:link w:val="66"/>
    <w:qFormat/>
    <w:uiPriority w:val="0"/>
    <w:pPr>
      <w:keepNext/>
      <w:keepLines/>
      <w:tabs>
        <w:tab w:val="left" w:pos="1008"/>
      </w:tabs>
      <w:spacing w:before="280" w:after="290" w:line="376" w:lineRule="auto"/>
      <w:ind w:left="1008" w:hanging="1008"/>
      <w:outlineLvl w:val="4"/>
    </w:pPr>
    <w:rPr>
      <w:rFonts w:ascii="Times New Roman" w:hAnsi="Times New Roman" w:eastAsia="黑体" w:cs="Times New Roman"/>
      <w:bCs/>
      <w:sz w:val="24"/>
      <w:szCs w:val="28"/>
    </w:rPr>
  </w:style>
  <w:style w:type="paragraph" w:styleId="7">
    <w:name w:val="heading 6"/>
    <w:basedOn w:val="1"/>
    <w:next w:val="1"/>
    <w:link w:val="67"/>
    <w:qFormat/>
    <w:uiPriority w:val="0"/>
    <w:pPr>
      <w:keepNext/>
      <w:keepLines/>
      <w:tabs>
        <w:tab w:val="left" w:pos="1152"/>
      </w:tabs>
      <w:spacing w:before="240" w:after="64" w:line="320" w:lineRule="auto"/>
      <w:ind w:left="1152" w:hanging="1152"/>
      <w:outlineLvl w:val="5"/>
    </w:pPr>
    <w:rPr>
      <w:rFonts w:ascii="Arial" w:hAnsi="Arial" w:eastAsia="黑体" w:cs="Times New Roman"/>
      <w:bCs/>
      <w:szCs w:val="24"/>
    </w:rPr>
  </w:style>
  <w:style w:type="paragraph" w:styleId="8">
    <w:name w:val="heading 7"/>
    <w:basedOn w:val="1"/>
    <w:next w:val="1"/>
    <w:link w:val="68"/>
    <w:qFormat/>
    <w:uiPriority w:val="0"/>
    <w:pPr>
      <w:keepNext/>
      <w:keepLines/>
      <w:tabs>
        <w:tab w:val="left" w:pos="2520"/>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69"/>
    <w:qFormat/>
    <w:uiPriority w:val="0"/>
    <w:pPr>
      <w:keepNext/>
      <w:keepLines/>
      <w:tabs>
        <w:tab w:val="left" w:pos="288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70"/>
    <w:qFormat/>
    <w:uiPriority w:val="0"/>
    <w:pPr>
      <w:keepNext/>
      <w:keepLines/>
      <w:tabs>
        <w:tab w:val="left" w:pos="2880"/>
      </w:tabs>
      <w:spacing w:before="240" w:after="64" w:line="320" w:lineRule="auto"/>
      <w:ind w:left="1584" w:hanging="1584"/>
      <w:outlineLvl w:val="8"/>
    </w:pPr>
    <w:rPr>
      <w:rFonts w:ascii="Arial" w:hAnsi="Arial" w:eastAsia="黑体" w:cs="Times New Roman"/>
      <w:szCs w:val="21"/>
    </w:rPr>
  </w:style>
  <w:style w:type="character" w:default="1" w:styleId="51">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2"/>
    <w:unhideWhenUsed/>
    <w:qFormat/>
    <w:uiPriority w:val="99"/>
    <w:rPr>
      <w:b/>
      <w:bCs/>
    </w:rPr>
  </w:style>
  <w:style w:type="paragraph" w:styleId="12">
    <w:name w:val="annotation text"/>
    <w:basedOn w:val="1"/>
    <w:link w:val="71"/>
    <w:unhideWhenUsed/>
    <w:qFormat/>
    <w:uiPriority w:val="99"/>
    <w:pPr>
      <w:jc w:val="left"/>
    </w:pPr>
  </w:style>
  <w:style w:type="paragraph" w:styleId="13">
    <w:name w:val="toc 7"/>
    <w:basedOn w:val="1"/>
    <w:next w:val="1"/>
    <w:unhideWhenUsed/>
    <w:qFormat/>
    <w:uiPriority w:val="39"/>
    <w:pPr>
      <w:ind w:left="1260"/>
      <w:jc w:val="left"/>
    </w:pPr>
    <w:rPr>
      <w:rFonts w:ascii="Calibri" w:hAnsi="Calibri" w:eastAsia="宋体" w:cs="Times New Roman"/>
      <w:sz w:val="18"/>
      <w:szCs w:val="18"/>
    </w:rPr>
  </w:style>
  <w:style w:type="paragraph" w:styleId="14">
    <w:name w:val="Body Text First Indent"/>
    <w:basedOn w:val="1"/>
    <w:link w:val="74"/>
    <w:qFormat/>
    <w:uiPriority w:val="0"/>
    <w:pPr>
      <w:spacing w:after="120"/>
      <w:ind w:firstLine="420" w:firstLineChars="100"/>
    </w:pPr>
    <w:rPr>
      <w:rFonts w:ascii="Times New Roman" w:hAnsi="Times New Roman"/>
      <w:szCs w:val="24"/>
    </w:rPr>
  </w:style>
  <w:style w:type="paragraph" w:styleId="15">
    <w:name w:val="Normal Indent"/>
    <w:basedOn w:val="1"/>
    <w:link w:val="88"/>
    <w:unhideWhenUsed/>
    <w:qFormat/>
    <w:uiPriority w:val="0"/>
    <w:pPr>
      <w:ind w:firstLine="420" w:firstLineChars="200"/>
    </w:pPr>
  </w:style>
  <w:style w:type="paragraph" w:styleId="16">
    <w:name w:val="caption"/>
    <w:basedOn w:val="1"/>
    <w:next w:val="1"/>
    <w:qFormat/>
    <w:uiPriority w:val="0"/>
    <w:pPr>
      <w:spacing w:line="300" w:lineRule="auto"/>
      <w:ind w:firstLine="200" w:firstLineChars="200"/>
    </w:pPr>
    <w:rPr>
      <w:rFonts w:ascii="Arial" w:hAnsi="Arial" w:eastAsia="黑体" w:cs="Arial"/>
      <w:sz w:val="20"/>
      <w:szCs w:val="20"/>
    </w:rPr>
  </w:style>
  <w:style w:type="paragraph" w:styleId="17">
    <w:name w:val="List Bullet"/>
    <w:basedOn w:val="1"/>
    <w:qFormat/>
    <w:uiPriority w:val="0"/>
    <w:rPr>
      <w:rFonts w:ascii="Times New Roman" w:hAnsi="Times New Roman" w:eastAsia="宋体" w:cs="Times New Roman"/>
      <w:szCs w:val="20"/>
    </w:rPr>
  </w:style>
  <w:style w:type="paragraph" w:styleId="18">
    <w:name w:val="Document Map"/>
    <w:basedOn w:val="1"/>
    <w:link w:val="75"/>
    <w:qFormat/>
    <w:uiPriority w:val="99"/>
    <w:pPr>
      <w:shd w:val="clear" w:color="auto" w:fill="000080"/>
    </w:pPr>
    <w:rPr>
      <w:rFonts w:ascii="Times New Roman" w:hAnsi="Times New Roman" w:eastAsia="宋体" w:cs="Times New Roman"/>
    </w:rPr>
  </w:style>
  <w:style w:type="paragraph" w:styleId="19">
    <w:name w:val="toa heading"/>
    <w:basedOn w:val="1"/>
    <w:next w:val="1"/>
    <w:semiHidden/>
    <w:qFormat/>
    <w:uiPriority w:val="0"/>
    <w:pPr>
      <w:spacing w:before="120"/>
    </w:pPr>
    <w:rPr>
      <w:rFonts w:ascii="Arial" w:hAnsi="Arial" w:eastAsia="宋体" w:cs="Times New Roman"/>
      <w:b/>
      <w:sz w:val="18"/>
      <w:szCs w:val="24"/>
    </w:rPr>
  </w:style>
  <w:style w:type="paragraph" w:styleId="20">
    <w:name w:val="Body Text 3"/>
    <w:basedOn w:val="1"/>
    <w:link w:val="76"/>
    <w:qFormat/>
    <w:uiPriority w:val="0"/>
    <w:pPr>
      <w:spacing w:line="360" w:lineRule="auto"/>
    </w:pPr>
    <w:rPr>
      <w:rFonts w:ascii="Times New Roman" w:hAnsi="Times New Roman"/>
      <w:color w:val="FF0000"/>
      <w:sz w:val="24"/>
      <w:szCs w:val="24"/>
    </w:rPr>
  </w:style>
  <w:style w:type="paragraph" w:styleId="21">
    <w:name w:val="List Bullet 3"/>
    <w:basedOn w:val="1"/>
    <w:qFormat/>
    <w:uiPriority w:val="0"/>
    <w:pPr>
      <w:numPr>
        <w:ilvl w:val="0"/>
        <w:numId w:val="1"/>
      </w:numPr>
      <w:tabs>
        <w:tab w:val="left" w:pos="1200"/>
      </w:tabs>
    </w:pPr>
    <w:rPr>
      <w:rFonts w:ascii="宋体" w:hAnsi="Times New Roman" w:eastAsia="宋体" w:cs="Times New Roman"/>
      <w:szCs w:val="20"/>
    </w:rPr>
  </w:style>
  <w:style w:type="paragraph" w:styleId="22">
    <w:name w:val="Body Text"/>
    <w:basedOn w:val="1"/>
    <w:link w:val="73"/>
    <w:unhideWhenUsed/>
    <w:qFormat/>
    <w:uiPriority w:val="0"/>
    <w:pPr>
      <w:spacing w:after="120"/>
    </w:pPr>
  </w:style>
  <w:style w:type="paragraph" w:styleId="23">
    <w:name w:val="Body Text Indent"/>
    <w:basedOn w:val="1"/>
    <w:link w:val="77"/>
    <w:qFormat/>
    <w:uiPriority w:val="99"/>
    <w:pPr>
      <w:ind w:left="559" w:leftChars="266"/>
    </w:pPr>
    <w:rPr>
      <w:rFonts w:ascii="仿宋_GB2312" w:hAnsi="Times New Roman" w:eastAsia="仿宋_GB2312"/>
      <w:sz w:val="28"/>
      <w:szCs w:val="24"/>
    </w:rPr>
  </w:style>
  <w:style w:type="paragraph" w:styleId="24">
    <w:name w:val="Block Text"/>
    <w:basedOn w:val="1"/>
    <w:qFormat/>
    <w:uiPriority w:val="0"/>
    <w:pPr>
      <w:spacing w:line="360" w:lineRule="auto"/>
      <w:ind w:left="420" w:right="22" w:firstLine="480"/>
    </w:pPr>
    <w:rPr>
      <w:rFonts w:ascii="宋体" w:hAnsi="宋体" w:eastAsia="宋体" w:cs="Times New Roman"/>
      <w:szCs w:val="20"/>
    </w:rPr>
  </w:style>
  <w:style w:type="paragraph" w:styleId="25">
    <w:name w:val="List Bullet 2"/>
    <w:basedOn w:val="1"/>
    <w:qFormat/>
    <w:uiPriority w:val="0"/>
    <w:pPr>
      <w:tabs>
        <w:tab w:val="left" w:pos="780"/>
      </w:tabs>
      <w:ind w:left="780" w:leftChars="200" w:hanging="360" w:hangingChars="200"/>
    </w:pPr>
    <w:rPr>
      <w:rFonts w:ascii="宋体" w:hAnsi="Times New Roman" w:eastAsia="宋体" w:cs="Times New Roman"/>
      <w:szCs w:val="20"/>
    </w:rPr>
  </w:style>
  <w:style w:type="paragraph" w:styleId="26">
    <w:name w:val="toc 5"/>
    <w:basedOn w:val="1"/>
    <w:next w:val="1"/>
    <w:unhideWhenUsed/>
    <w:qFormat/>
    <w:uiPriority w:val="39"/>
    <w:pPr>
      <w:ind w:left="840"/>
      <w:jc w:val="left"/>
    </w:pPr>
    <w:rPr>
      <w:rFonts w:ascii="Calibri" w:hAnsi="Calibri" w:eastAsia="宋体" w:cs="Times New Roman"/>
      <w:sz w:val="18"/>
      <w:szCs w:val="18"/>
    </w:rPr>
  </w:style>
  <w:style w:type="paragraph" w:styleId="27">
    <w:name w:val="toc 3"/>
    <w:basedOn w:val="1"/>
    <w:next w:val="1"/>
    <w:unhideWhenUsed/>
    <w:qFormat/>
    <w:uiPriority w:val="39"/>
    <w:pPr>
      <w:ind w:left="420"/>
      <w:jc w:val="left"/>
    </w:pPr>
    <w:rPr>
      <w:rFonts w:ascii="Calibri" w:hAnsi="Calibri" w:eastAsia="宋体" w:cs="Times New Roman"/>
      <w:i/>
      <w:iCs/>
      <w:sz w:val="20"/>
      <w:szCs w:val="20"/>
    </w:rPr>
  </w:style>
  <w:style w:type="paragraph" w:styleId="28">
    <w:name w:val="Plain Text"/>
    <w:basedOn w:val="1"/>
    <w:link w:val="78"/>
    <w:qFormat/>
    <w:uiPriority w:val="0"/>
    <w:rPr>
      <w:rFonts w:ascii="宋体" w:hAnsi="Courier New"/>
    </w:rPr>
  </w:style>
  <w:style w:type="paragraph" w:styleId="29">
    <w:name w:val="toc 8"/>
    <w:basedOn w:val="1"/>
    <w:next w:val="1"/>
    <w:unhideWhenUsed/>
    <w:qFormat/>
    <w:uiPriority w:val="39"/>
    <w:pPr>
      <w:ind w:left="1470"/>
      <w:jc w:val="left"/>
    </w:pPr>
    <w:rPr>
      <w:rFonts w:ascii="Calibri" w:hAnsi="Calibri" w:eastAsia="宋体" w:cs="Times New Roman"/>
      <w:sz w:val="18"/>
      <w:szCs w:val="18"/>
    </w:rPr>
  </w:style>
  <w:style w:type="paragraph" w:styleId="30">
    <w:name w:val="Date"/>
    <w:basedOn w:val="1"/>
    <w:next w:val="1"/>
    <w:link w:val="79"/>
    <w:qFormat/>
    <w:uiPriority w:val="0"/>
    <w:rPr>
      <w:rFonts w:ascii="Times New Roman" w:hAnsi="Times New Roman" w:eastAsia="幼圆"/>
      <w:sz w:val="28"/>
    </w:rPr>
  </w:style>
  <w:style w:type="paragraph" w:styleId="31">
    <w:name w:val="Body Text Indent 2"/>
    <w:basedOn w:val="1"/>
    <w:link w:val="80"/>
    <w:unhideWhenUsed/>
    <w:qFormat/>
    <w:uiPriority w:val="0"/>
    <w:pPr>
      <w:spacing w:after="120" w:line="480" w:lineRule="auto"/>
      <w:ind w:left="420" w:leftChars="200"/>
    </w:pPr>
  </w:style>
  <w:style w:type="paragraph" w:styleId="32">
    <w:name w:val="endnote text"/>
    <w:basedOn w:val="1"/>
    <w:link w:val="81"/>
    <w:unhideWhenUsed/>
    <w:qFormat/>
    <w:uiPriority w:val="99"/>
    <w:pPr>
      <w:snapToGrid w:val="0"/>
      <w:jc w:val="left"/>
    </w:pPr>
  </w:style>
  <w:style w:type="paragraph" w:styleId="33">
    <w:name w:val="Balloon Text"/>
    <w:basedOn w:val="1"/>
    <w:link w:val="82"/>
    <w:unhideWhenUsed/>
    <w:qFormat/>
    <w:uiPriority w:val="0"/>
    <w:rPr>
      <w:sz w:val="18"/>
      <w:szCs w:val="18"/>
    </w:rPr>
  </w:style>
  <w:style w:type="paragraph" w:styleId="34">
    <w:name w:val="footer"/>
    <w:basedOn w:val="1"/>
    <w:link w:val="61"/>
    <w:unhideWhenUsed/>
    <w:qFormat/>
    <w:uiPriority w:val="0"/>
    <w:pPr>
      <w:tabs>
        <w:tab w:val="center" w:pos="4153"/>
        <w:tab w:val="right" w:pos="8306"/>
      </w:tabs>
      <w:snapToGrid w:val="0"/>
      <w:jc w:val="left"/>
    </w:pPr>
    <w:rPr>
      <w:sz w:val="18"/>
      <w:szCs w:val="18"/>
    </w:rPr>
  </w:style>
  <w:style w:type="paragraph" w:styleId="35">
    <w:name w:val="Body Text First Indent 2"/>
    <w:basedOn w:val="23"/>
    <w:link w:val="83"/>
    <w:unhideWhenUsed/>
    <w:qFormat/>
    <w:uiPriority w:val="99"/>
    <w:pPr>
      <w:ind w:firstLine="420" w:firstLineChars="200"/>
    </w:pPr>
  </w:style>
  <w:style w:type="paragraph" w:styleId="36">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unhideWhenUsed/>
    <w:qFormat/>
    <w:uiPriority w:val="39"/>
    <w:pPr>
      <w:spacing w:before="120" w:after="120"/>
      <w:jc w:val="left"/>
    </w:pPr>
    <w:rPr>
      <w:rFonts w:ascii="Calibri" w:hAnsi="Calibri" w:eastAsia="宋体" w:cs="Times New Roman"/>
      <w:b/>
      <w:bCs/>
      <w:caps/>
      <w:sz w:val="20"/>
      <w:szCs w:val="20"/>
    </w:rPr>
  </w:style>
  <w:style w:type="paragraph" w:styleId="38">
    <w:name w:val="toc 4"/>
    <w:basedOn w:val="1"/>
    <w:next w:val="1"/>
    <w:unhideWhenUsed/>
    <w:qFormat/>
    <w:uiPriority w:val="39"/>
    <w:pPr>
      <w:ind w:left="630"/>
      <w:jc w:val="left"/>
    </w:pPr>
    <w:rPr>
      <w:rFonts w:ascii="Calibri" w:hAnsi="Calibri" w:eastAsia="宋体" w:cs="Times New Roman"/>
      <w:sz w:val="18"/>
      <w:szCs w:val="18"/>
    </w:rPr>
  </w:style>
  <w:style w:type="paragraph" w:styleId="39">
    <w:name w:val="index heading"/>
    <w:basedOn w:val="1"/>
    <w:next w:val="40"/>
    <w:semiHidden/>
    <w:qFormat/>
    <w:uiPriority w:val="0"/>
    <w:pPr>
      <w:adjustRightInd w:val="0"/>
      <w:spacing w:line="310" w:lineRule="atLeast"/>
      <w:jc w:val="left"/>
      <w:textAlignment w:val="baseline"/>
    </w:pPr>
    <w:rPr>
      <w:rFonts w:ascii="黑体" w:hAnsi="Times New Roman" w:eastAsia="黑体" w:cs="Times New Roman"/>
      <w:color w:val="000000"/>
      <w:kern w:val="0"/>
      <w:sz w:val="24"/>
      <w:szCs w:val="20"/>
    </w:rPr>
  </w:style>
  <w:style w:type="paragraph" w:styleId="40">
    <w:name w:val="index 1"/>
    <w:basedOn w:val="1"/>
    <w:next w:val="1"/>
    <w:unhideWhenUsed/>
    <w:qFormat/>
    <w:uiPriority w:val="0"/>
  </w:style>
  <w:style w:type="paragraph" w:styleId="41">
    <w:name w:val="List"/>
    <w:basedOn w:val="1"/>
    <w:qFormat/>
    <w:uiPriority w:val="99"/>
    <w:pPr>
      <w:spacing w:line="360" w:lineRule="auto"/>
      <w:ind w:left="200" w:hanging="200"/>
    </w:pPr>
    <w:rPr>
      <w:rFonts w:ascii="Times New Roman" w:hAnsi="Times New Roman" w:eastAsia="宋体" w:cs="Times New Roman"/>
      <w:sz w:val="24"/>
      <w:szCs w:val="24"/>
    </w:rPr>
  </w:style>
  <w:style w:type="paragraph" w:styleId="42">
    <w:name w:val="toc 6"/>
    <w:basedOn w:val="1"/>
    <w:next w:val="1"/>
    <w:unhideWhenUsed/>
    <w:qFormat/>
    <w:uiPriority w:val="39"/>
    <w:pPr>
      <w:ind w:left="1050"/>
      <w:jc w:val="left"/>
    </w:pPr>
    <w:rPr>
      <w:rFonts w:ascii="Calibri" w:hAnsi="Calibri" w:eastAsia="宋体" w:cs="Times New Roman"/>
      <w:sz w:val="18"/>
      <w:szCs w:val="18"/>
    </w:rPr>
  </w:style>
  <w:style w:type="paragraph" w:styleId="43">
    <w:name w:val="Body Text Indent 3"/>
    <w:basedOn w:val="1"/>
    <w:link w:val="84"/>
    <w:qFormat/>
    <w:uiPriority w:val="0"/>
    <w:pPr>
      <w:ind w:firstLine="420"/>
    </w:pPr>
    <w:rPr>
      <w:rFonts w:ascii="Times New Roman" w:hAnsi="Times New Roman"/>
      <w:b/>
      <w:i/>
      <w:color w:val="000000"/>
      <w:szCs w:val="24"/>
      <w:u w:val="single"/>
    </w:rPr>
  </w:style>
  <w:style w:type="paragraph" w:styleId="44">
    <w:name w:val="toc 2"/>
    <w:basedOn w:val="1"/>
    <w:next w:val="1"/>
    <w:qFormat/>
    <w:uiPriority w:val="39"/>
    <w:pPr>
      <w:ind w:left="210"/>
      <w:jc w:val="left"/>
    </w:pPr>
    <w:rPr>
      <w:rFonts w:ascii="Calibri" w:hAnsi="Calibri" w:eastAsia="宋体" w:cs="Times New Roman"/>
      <w:smallCaps/>
      <w:sz w:val="20"/>
      <w:szCs w:val="20"/>
    </w:rPr>
  </w:style>
  <w:style w:type="paragraph" w:styleId="45">
    <w:name w:val="toc 9"/>
    <w:basedOn w:val="1"/>
    <w:next w:val="1"/>
    <w:unhideWhenUsed/>
    <w:qFormat/>
    <w:uiPriority w:val="39"/>
    <w:pPr>
      <w:ind w:left="1680"/>
      <w:jc w:val="left"/>
    </w:pPr>
    <w:rPr>
      <w:rFonts w:ascii="Calibri" w:hAnsi="Calibri" w:eastAsia="宋体" w:cs="Times New Roman"/>
      <w:sz w:val="18"/>
      <w:szCs w:val="18"/>
    </w:rPr>
  </w:style>
  <w:style w:type="paragraph" w:styleId="46">
    <w:name w:val="Body Text 2"/>
    <w:basedOn w:val="1"/>
    <w:link w:val="85"/>
    <w:qFormat/>
    <w:uiPriority w:val="0"/>
    <w:rPr>
      <w:rFonts w:ascii="Times New Roman" w:hAnsi="Times New Roman"/>
      <w:color w:val="000000"/>
      <w:szCs w:val="24"/>
    </w:rPr>
  </w:style>
  <w:style w:type="paragraph" w:styleId="47">
    <w:name w:val="List Continue 2"/>
    <w:basedOn w:val="1"/>
    <w:unhideWhenUsed/>
    <w:qFormat/>
    <w:uiPriority w:val="99"/>
    <w:pPr>
      <w:spacing w:after="120"/>
      <w:ind w:left="840" w:leftChars="400"/>
      <w:contextualSpacing/>
    </w:pPr>
    <w:rPr>
      <w:rFonts w:ascii="Times New Roman" w:hAnsi="Times New Roman" w:eastAsia="宋体" w:cs="Times New Roman"/>
    </w:rPr>
  </w:style>
  <w:style w:type="paragraph" w:styleId="48">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50">
    <w:name w:val="Title"/>
    <w:basedOn w:val="1"/>
    <w:next w:val="1"/>
    <w:link w:val="87"/>
    <w:qFormat/>
    <w:uiPriority w:val="0"/>
    <w:pPr>
      <w:spacing w:before="240" w:after="60"/>
      <w:jc w:val="center"/>
      <w:outlineLvl w:val="0"/>
    </w:pPr>
    <w:rPr>
      <w:rFonts w:ascii="Cambria" w:hAnsi="Cambria"/>
      <w:b/>
      <w:bCs/>
      <w:sz w:val="32"/>
      <w:szCs w:val="32"/>
    </w:rPr>
  </w:style>
  <w:style w:type="character" w:styleId="52">
    <w:name w:val="Strong"/>
    <w:qFormat/>
    <w:uiPriority w:val="22"/>
    <w:rPr>
      <w:b/>
      <w:bCs/>
    </w:rPr>
  </w:style>
  <w:style w:type="character" w:styleId="53">
    <w:name w:val="endnote reference"/>
    <w:unhideWhenUsed/>
    <w:qFormat/>
    <w:uiPriority w:val="99"/>
    <w:rPr>
      <w:vertAlign w:val="superscript"/>
    </w:rPr>
  </w:style>
  <w:style w:type="character" w:styleId="54">
    <w:name w:val="page number"/>
    <w:basedOn w:val="51"/>
    <w:qFormat/>
    <w:uiPriority w:val="0"/>
    <w:rPr>
      <w:rFonts w:ascii="Times New Roman" w:hAnsi="Times New Roman" w:cs="Times New Roman"/>
    </w:rPr>
  </w:style>
  <w:style w:type="character" w:styleId="55">
    <w:name w:val="FollowedHyperlink"/>
    <w:unhideWhenUsed/>
    <w:qFormat/>
    <w:uiPriority w:val="0"/>
    <w:rPr>
      <w:color w:val="333333"/>
      <w:u w:val="none"/>
    </w:rPr>
  </w:style>
  <w:style w:type="character" w:styleId="56">
    <w:name w:val="Hyperlink"/>
    <w:qFormat/>
    <w:uiPriority w:val="99"/>
    <w:rPr>
      <w:rFonts w:ascii="Times New Roman" w:hAnsi="Times New Roman" w:cs="Times New Roman"/>
      <w:color w:val="0000FF"/>
      <w:u w:val="single"/>
    </w:rPr>
  </w:style>
  <w:style w:type="character" w:styleId="57">
    <w:name w:val="annotation reference"/>
    <w:unhideWhenUsed/>
    <w:qFormat/>
    <w:uiPriority w:val="99"/>
    <w:rPr>
      <w:sz w:val="21"/>
      <w:szCs w:val="21"/>
    </w:rPr>
  </w:style>
  <w:style w:type="table" w:styleId="59">
    <w:name w:val="Table Grid"/>
    <w:basedOn w:val="5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0">
    <w:name w:val="页眉 Char"/>
    <w:basedOn w:val="51"/>
    <w:link w:val="36"/>
    <w:qFormat/>
    <w:uiPriority w:val="99"/>
    <w:rPr>
      <w:sz w:val="18"/>
      <w:szCs w:val="18"/>
    </w:rPr>
  </w:style>
  <w:style w:type="character" w:customStyle="1" w:styleId="61">
    <w:name w:val="页脚 Char"/>
    <w:basedOn w:val="51"/>
    <w:link w:val="34"/>
    <w:qFormat/>
    <w:uiPriority w:val="99"/>
    <w:rPr>
      <w:sz w:val="18"/>
      <w:szCs w:val="18"/>
    </w:rPr>
  </w:style>
  <w:style w:type="character" w:customStyle="1" w:styleId="62">
    <w:name w:val="标题 1 Char"/>
    <w:basedOn w:val="51"/>
    <w:link w:val="2"/>
    <w:qFormat/>
    <w:uiPriority w:val="9"/>
    <w:rPr>
      <w:rFonts w:ascii="Calibri" w:hAnsi="Calibri" w:eastAsia="黑体" w:cs="Times New Roman"/>
      <w:b/>
      <w:bCs/>
      <w:kern w:val="44"/>
      <w:sz w:val="44"/>
      <w:szCs w:val="44"/>
    </w:rPr>
  </w:style>
  <w:style w:type="character" w:customStyle="1" w:styleId="63">
    <w:name w:val="标题 2 Char"/>
    <w:basedOn w:val="51"/>
    <w:link w:val="3"/>
    <w:qFormat/>
    <w:uiPriority w:val="9"/>
    <w:rPr>
      <w:rFonts w:ascii="Arial" w:hAnsi="Arial" w:eastAsia="黑体" w:cs="Times New Roman"/>
      <w:b/>
      <w:bCs/>
      <w:kern w:val="0"/>
      <w:sz w:val="28"/>
      <w:szCs w:val="32"/>
    </w:rPr>
  </w:style>
  <w:style w:type="character" w:customStyle="1" w:styleId="64">
    <w:name w:val="标题 3 Char"/>
    <w:basedOn w:val="51"/>
    <w:link w:val="4"/>
    <w:qFormat/>
    <w:uiPriority w:val="0"/>
    <w:rPr>
      <w:rFonts w:ascii="Calibri" w:hAnsi="Calibri" w:eastAsia="宋体" w:cs="Times New Roman"/>
      <w:b/>
      <w:bCs/>
      <w:kern w:val="0"/>
      <w:sz w:val="32"/>
      <w:szCs w:val="32"/>
    </w:rPr>
  </w:style>
  <w:style w:type="character" w:customStyle="1" w:styleId="65">
    <w:name w:val="标题 4 Char"/>
    <w:basedOn w:val="51"/>
    <w:link w:val="5"/>
    <w:qFormat/>
    <w:uiPriority w:val="0"/>
    <w:rPr>
      <w:rFonts w:ascii="Cambria" w:hAnsi="Cambria" w:eastAsia="宋体" w:cs="Times New Roman"/>
      <w:b/>
      <w:bCs/>
      <w:kern w:val="0"/>
      <w:sz w:val="28"/>
      <w:szCs w:val="28"/>
    </w:rPr>
  </w:style>
  <w:style w:type="character" w:customStyle="1" w:styleId="66">
    <w:name w:val="标题 5 Char"/>
    <w:basedOn w:val="51"/>
    <w:link w:val="6"/>
    <w:qFormat/>
    <w:uiPriority w:val="0"/>
    <w:rPr>
      <w:rFonts w:ascii="Times New Roman" w:hAnsi="Times New Roman" w:eastAsia="黑体" w:cs="Times New Roman"/>
      <w:bCs/>
      <w:sz w:val="24"/>
      <w:szCs w:val="28"/>
    </w:rPr>
  </w:style>
  <w:style w:type="character" w:customStyle="1" w:styleId="67">
    <w:name w:val="标题 6 Char"/>
    <w:basedOn w:val="51"/>
    <w:link w:val="7"/>
    <w:qFormat/>
    <w:uiPriority w:val="0"/>
    <w:rPr>
      <w:rFonts w:ascii="Arial" w:hAnsi="Arial" w:eastAsia="黑体" w:cs="Times New Roman"/>
      <w:bCs/>
      <w:szCs w:val="24"/>
    </w:rPr>
  </w:style>
  <w:style w:type="character" w:customStyle="1" w:styleId="68">
    <w:name w:val="标题 7 Char"/>
    <w:basedOn w:val="51"/>
    <w:link w:val="8"/>
    <w:qFormat/>
    <w:uiPriority w:val="0"/>
    <w:rPr>
      <w:rFonts w:ascii="Times New Roman" w:hAnsi="Times New Roman" w:eastAsia="宋体" w:cs="Times New Roman"/>
      <w:b/>
      <w:bCs/>
      <w:sz w:val="24"/>
      <w:szCs w:val="24"/>
    </w:rPr>
  </w:style>
  <w:style w:type="character" w:customStyle="1" w:styleId="69">
    <w:name w:val="标题 8 Char"/>
    <w:basedOn w:val="51"/>
    <w:link w:val="9"/>
    <w:qFormat/>
    <w:uiPriority w:val="0"/>
    <w:rPr>
      <w:rFonts w:ascii="Arial" w:hAnsi="Arial" w:eastAsia="黑体" w:cs="Times New Roman"/>
      <w:sz w:val="24"/>
      <w:szCs w:val="24"/>
    </w:rPr>
  </w:style>
  <w:style w:type="character" w:customStyle="1" w:styleId="70">
    <w:name w:val="标题 9 Char"/>
    <w:basedOn w:val="51"/>
    <w:link w:val="10"/>
    <w:qFormat/>
    <w:uiPriority w:val="0"/>
    <w:rPr>
      <w:rFonts w:ascii="Arial" w:hAnsi="Arial" w:eastAsia="黑体" w:cs="Times New Roman"/>
      <w:szCs w:val="21"/>
    </w:rPr>
  </w:style>
  <w:style w:type="character" w:customStyle="1" w:styleId="71">
    <w:name w:val="批注文字 Char"/>
    <w:basedOn w:val="51"/>
    <w:link w:val="12"/>
    <w:qFormat/>
    <w:uiPriority w:val="99"/>
  </w:style>
  <w:style w:type="character" w:customStyle="1" w:styleId="72">
    <w:name w:val="批注主题 Char"/>
    <w:basedOn w:val="71"/>
    <w:link w:val="11"/>
    <w:qFormat/>
    <w:uiPriority w:val="99"/>
    <w:rPr>
      <w:b/>
      <w:bCs/>
    </w:rPr>
  </w:style>
  <w:style w:type="character" w:customStyle="1" w:styleId="73">
    <w:name w:val="正文文本 Char"/>
    <w:basedOn w:val="51"/>
    <w:link w:val="22"/>
    <w:qFormat/>
    <w:uiPriority w:val="0"/>
  </w:style>
  <w:style w:type="character" w:customStyle="1" w:styleId="74">
    <w:name w:val="正文首行缩进 Char"/>
    <w:basedOn w:val="73"/>
    <w:link w:val="14"/>
    <w:qFormat/>
    <w:uiPriority w:val="0"/>
    <w:rPr>
      <w:rFonts w:ascii="Times New Roman" w:hAnsi="Times New Roman"/>
      <w:szCs w:val="24"/>
    </w:rPr>
  </w:style>
  <w:style w:type="character" w:customStyle="1" w:styleId="75">
    <w:name w:val="文档结构图 Char"/>
    <w:basedOn w:val="51"/>
    <w:link w:val="18"/>
    <w:qFormat/>
    <w:uiPriority w:val="99"/>
    <w:rPr>
      <w:rFonts w:ascii="Times New Roman" w:hAnsi="Times New Roman" w:eastAsia="宋体" w:cs="Times New Roman"/>
      <w:shd w:val="clear" w:color="auto" w:fill="000080"/>
    </w:rPr>
  </w:style>
  <w:style w:type="character" w:customStyle="1" w:styleId="76">
    <w:name w:val="正文文本 3 Char"/>
    <w:basedOn w:val="51"/>
    <w:link w:val="20"/>
    <w:qFormat/>
    <w:uiPriority w:val="0"/>
    <w:rPr>
      <w:rFonts w:ascii="Times New Roman" w:hAnsi="Times New Roman"/>
      <w:color w:val="FF0000"/>
      <w:sz w:val="24"/>
      <w:szCs w:val="24"/>
    </w:rPr>
  </w:style>
  <w:style w:type="character" w:customStyle="1" w:styleId="77">
    <w:name w:val="正文文本缩进 Char"/>
    <w:basedOn w:val="51"/>
    <w:link w:val="23"/>
    <w:qFormat/>
    <w:uiPriority w:val="99"/>
    <w:rPr>
      <w:rFonts w:ascii="仿宋_GB2312" w:hAnsi="Times New Roman" w:eastAsia="仿宋_GB2312"/>
      <w:sz w:val="28"/>
      <w:szCs w:val="24"/>
    </w:rPr>
  </w:style>
  <w:style w:type="character" w:customStyle="1" w:styleId="78">
    <w:name w:val="纯文本 Char"/>
    <w:basedOn w:val="51"/>
    <w:link w:val="28"/>
    <w:qFormat/>
    <w:uiPriority w:val="0"/>
    <w:rPr>
      <w:rFonts w:ascii="宋体" w:hAnsi="Courier New"/>
    </w:rPr>
  </w:style>
  <w:style w:type="character" w:customStyle="1" w:styleId="79">
    <w:name w:val="日期 Char"/>
    <w:basedOn w:val="51"/>
    <w:link w:val="30"/>
    <w:qFormat/>
    <w:uiPriority w:val="0"/>
    <w:rPr>
      <w:rFonts w:ascii="Times New Roman" w:hAnsi="Times New Roman" w:eastAsia="幼圆"/>
      <w:sz w:val="28"/>
    </w:rPr>
  </w:style>
  <w:style w:type="character" w:customStyle="1" w:styleId="80">
    <w:name w:val="正文文本缩进 2 Char"/>
    <w:basedOn w:val="51"/>
    <w:link w:val="31"/>
    <w:qFormat/>
    <w:uiPriority w:val="0"/>
  </w:style>
  <w:style w:type="character" w:customStyle="1" w:styleId="81">
    <w:name w:val="尾注文本 Char"/>
    <w:basedOn w:val="51"/>
    <w:link w:val="32"/>
    <w:qFormat/>
    <w:uiPriority w:val="99"/>
  </w:style>
  <w:style w:type="character" w:customStyle="1" w:styleId="82">
    <w:name w:val="批注框文本 Char"/>
    <w:basedOn w:val="51"/>
    <w:link w:val="33"/>
    <w:qFormat/>
    <w:uiPriority w:val="0"/>
    <w:rPr>
      <w:sz w:val="18"/>
      <w:szCs w:val="18"/>
    </w:rPr>
  </w:style>
  <w:style w:type="character" w:customStyle="1" w:styleId="83">
    <w:name w:val="正文首行缩进 2 Char"/>
    <w:basedOn w:val="77"/>
    <w:link w:val="35"/>
    <w:qFormat/>
    <w:uiPriority w:val="99"/>
    <w:rPr>
      <w:rFonts w:ascii="仿宋_GB2312" w:hAnsi="Times New Roman" w:eastAsia="仿宋_GB2312"/>
      <w:sz w:val="28"/>
      <w:szCs w:val="24"/>
    </w:rPr>
  </w:style>
  <w:style w:type="character" w:customStyle="1" w:styleId="84">
    <w:name w:val="正文文本缩进 3 Char"/>
    <w:basedOn w:val="51"/>
    <w:link w:val="43"/>
    <w:qFormat/>
    <w:uiPriority w:val="0"/>
    <w:rPr>
      <w:rFonts w:ascii="Times New Roman" w:hAnsi="Times New Roman"/>
      <w:b/>
      <w:i/>
      <w:color w:val="000000"/>
      <w:szCs w:val="24"/>
      <w:u w:val="single"/>
    </w:rPr>
  </w:style>
  <w:style w:type="character" w:customStyle="1" w:styleId="85">
    <w:name w:val="正文文本 2 Char"/>
    <w:basedOn w:val="51"/>
    <w:link w:val="46"/>
    <w:qFormat/>
    <w:uiPriority w:val="0"/>
    <w:rPr>
      <w:rFonts w:ascii="Times New Roman" w:hAnsi="Times New Roman"/>
      <w:color w:val="000000"/>
      <w:szCs w:val="24"/>
    </w:rPr>
  </w:style>
  <w:style w:type="character" w:customStyle="1" w:styleId="86">
    <w:name w:val="HTML 预设格式 Char"/>
    <w:basedOn w:val="51"/>
    <w:link w:val="48"/>
    <w:qFormat/>
    <w:uiPriority w:val="99"/>
    <w:rPr>
      <w:rFonts w:ascii="宋体" w:hAnsi="宋体" w:eastAsia="宋体" w:cs="宋体"/>
      <w:kern w:val="0"/>
      <w:sz w:val="24"/>
      <w:szCs w:val="24"/>
    </w:rPr>
  </w:style>
  <w:style w:type="character" w:customStyle="1" w:styleId="87">
    <w:name w:val="标题 Char"/>
    <w:basedOn w:val="51"/>
    <w:link w:val="50"/>
    <w:qFormat/>
    <w:uiPriority w:val="0"/>
    <w:rPr>
      <w:rFonts w:ascii="Cambria" w:hAnsi="Cambria"/>
      <w:b/>
      <w:bCs/>
      <w:sz w:val="32"/>
      <w:szCs w:val="32"/>
    </w:rPr>
  </w:style>
  <w:style w:type="character" w:customStyle="1" w:styleId="88">
    <w:name w:val="正文缩进 Char"/>
    <w:link w:val="15"/>
    <w:qFormat/>
    <w:uiPriority w:val="0"/>
  </w:style>
  <w:style w:type="character" w:customStyle="1" w:styleId="89">
    <w:name w:val="font21"/>
    <w:qFormat/>
    <w:uiPriority w:val="0"/>
    <w:rPr>
      <w:rFonts w:hint="eastAsia" w:ascii="宋体" w:hAnsi="宋体" w:eastAsia="宋体" w:cs="宋体"/>
      <w:color w:val="FF0000"/>
      <w:sz w:val="20"/>
      <w:szCs w:val="20"/>
      <w:u w:val="none"/>
    </w:rPr>
  </w:style>
  <w:style w:type="character" w:customStyle="1" w:styleId="90">
    <w:name w:val="tx1"/>
    <w:qFormat/>
    <w:uiPriority w:val="0"/>
    <w:rPr>
      <w:b/>
      <w:bCs/>
    </w:rPr>
  </w:style>
  <w:style w:type="character" w:customStyle="1" w:styleId="91">
    <w:name w:val="apple-converted-space"/>
    <w:basedOn w:val="51"/>
    <w:qFormat/>
    <w:uiPriority w:val="0"/>
  </w:style>
  <w:style w:type="character" w:customStyle="1" w:styleId="92">
    <w:name w:val="b1"/>
    <w:qFormat/>
    <w:uiPriority w:val="0"/>
    <w:rPr>
      <w:rFonts w:hint="default" w:ascii="Courier New" w:hAnsi="Courier New" w:cs="楷体_GB2312"/>
      <w:b/>
      <w:bCs/>
      <w:color w:val="FF0000"/>
      <w:u w:val="none"/>
    </w:rPr>
  </w:style>
  <w:style w:type="character" w:customStyle="1" w:styleId="93">
    <w:name w:val="正文首行缩进 Char1"/>
    <w:qFormat/>
    <w:uiPriority w:val="0"/>
    <w:rPr>
      <w:rFonts w:ascii="Times New Roman" w:hAnsi="Times New Roman" w:eastAsia="宋体" w:cs="Times New Roman"/>
      <w:szCs w:val="24"/>
    </w:rPr>
  </w:style>
  <w:style w:type="character" w:customStyle="1" w:styleId="94">
    <w:name w:val="font31"/>
    <w:qFormat/>
    <w:uiPriority w:val="0"/>
    <w:rPr>
      <w:rFonts w:hint="eastAsia" w:ascii="宋体" w:hAnsi="宋体" w:eastAsia="宋体" w:cs="宋体"/>
      <w:color w:val="000000"/>
      <w:sz w:val="20"/>
      <w:szCs w:val="20"/>
      <w:u w:val="none"/>
    </w:rPr>
  </w:style>
  <w:style w:type="character" w:customStyle="1" w:styleId="95">
    <w:name w:val="正文文本 Char1"/>
    <w:semiHidden/>
    <w:qFormat/>
    <w:uiPriority w:val="99"/>
    <w:rPr>
      <w:rFonts w:ascii="Calibri" w:hAnsi="Calibri" w:eastAsia="宋体" w:cs="Times New Roman"/>
    </w:rPr>
  </w:style>
  <w:style w:type="character" w:customStyle="1" w:styleId="96">
    <w:name w:val="表格英文 Char"/>
    <w:link w:val="97"/>
    <w:qFormat/>
    <w:uiPriority w:val="0"/>
    <w:rPr>
      <w:rFonts w:ascii="Verdana" w:hAnsi="Verdana"/>
      <w:bCs/>
      <w:sz w:val="18"/>
      <w:szCs w:val="18"/>
    </w:rPr>
  </w:style>
  <w:style w:type="paragraph" w:customStyle="1" w:styleId="97">
    <w:name w:val="表格英文"/>
    <w:basedOn w:val="98"/>
    <w:link w:val="96"/>
    <w:qFormat/>
    <w:uiPriority w:val="0"/>
  </w:style>
  <w:style w:type="paragraph" w:customStyle="1" w:styleId="98">
    <w:name w:val="表格中文"/>
    <w:link w:val="108"/>
    <w:qFormat/>
    <w:uiPriority w:val="0"/>
    <w:pPr>
      <w:spacing w:line="240" w:lineRule="atLeast"/>
    </w:pPr>
    <w:rPr>
      <w:rFonts w:ascii="Verdana" w:hAnsi="Verdana" w:eastAsiaTheme="minorEastAsia" w:cstheme="minorBidi"/>
      <w:bCs/>
      <w:kern w:val="2"/>
      <w:sz w:val="18"/>
      <w:szCs w:val="18"/>
      <w:lang w:val="en-US" w:eastAsia="zh-CN" w:bidi="ar-SA"/>
    </w:rPr>
  </w:style>
  <w:style w:type="character" w:customStyle="1" w:styleId="99">
    <w:name w:val="m1"/>
    <w:qFormat/>
    <w:uiPriority w:val="0"/>
    <w:rPr>
      <w:color w:val="0000FF"/>
    </w:rPr>
  </w:style>
  <w:style w:type="character" w:customStyle="1" w:styleId="100">
    <w:name w:val="font11"/>
    <w:qFormat/>
    <w:uiPriority w:val="0"/>
    <w:rPr>
      <w:rFonts w:hint="eastAsia" w:ascii="宋体" w:hAnsi="宋体" w:eastAsia="宋体" w:cs="宋体"/>
      <w:color w:val="000000"/>
      <w:sz w:val="20"/>
      <w:szCs w:val="20"/>
      <w:u w:val="none"/>
    </w:rPr>
  </w:style>
  <w:style w:type="character" w:customStyle="1" w:styleId="101">
    <w:name w:val="一级 Char"/>
    <w:link w:val="102"/>
    <w:qFormat/>
    <w:locked/>
    <w:uiPriority w:val="0"/>
    <w:rPr>
      <w:rFonts w:ascii="仿宋_GB2312" w:eastAsia="仿宋_GB2312"/>
      <w:b/>
      <w:bCs/>
      <w:kern w:val="44"/>
      <w:sz w:val="28"/>
      <w:szCs w:val="28"/>
    </w:rPr>
  </w:style>
  <w:style w:type="paragraph" w:customStyle="1" w:styleId="102">
    <w:name w:val="一级"/>
    <w:basedOn w:val="2"/>
    <w:link w:val="101"/>
    <w:qFormat/>
    <w:uiPriority w:val="0"/>
    <w:pPr>
      <w:tabs>
        <w:tab w:val="left" w:pos="567"/>
      </w:tabs>
      <w:ind w:left="420" w:hanging="420"/>
    </w:pPr>
    <w:rPr>
      <w:rFonts w:ascii="仿宋_GB2312" w:eastAsia="仿宋_GB2312" w:hAnsiTheme="minorHAnsi" w:cstheme="minorBidi"/>
      <w:sz w:val="28"/>
      <w:szCs w:val="28"/>
    </w:rPr>
  </w:style>
  <w:style w:type="character" w:customStyle="1" w:styleId="103">
    <w:name w:val="列出段落 Char"/>
    <w:link w:val="104"/>
    <w:qFormat/>
    <w:uiPriority w:val="34"/>
  </w:style>
  <w:style w:type="paragraph" w:customStyle="1" w:styleId="104">
    <w:name w:val="列出段落1"/>
    <w:basedOn w:val="1"/>
    <w:link w:val="103"/>
    <w:qFormat/>
    <w:uiPriority w:val="34"/>
    <w:pPr>
      <w:ind w:firstLine="420" w:firstLineChars="200"/>
    </w:pPr>
  </w:style>
  <w:style w:type="character" w:customStyle="1" w:styleId="105">
    <w:name w:val="pi1"/>
    <w:qFormat/>
    <w:uiPriority w:val="0"/>
    <w:rPr>
      <w:color w:val="0000FF"/>
    </w:rPr>
  </w:style>
  <w:style w:type="character" w:customStyle="1" w:styleId="106">
    <w:name w:val="标题 Char1"/>
    <w:qFormat/>
    <w:uiPriority w:val="10"/>
    <w:rPr>
      <w:rFonts w:ascii="Cambria" w:hAnsi="Cambria" w:cs="Times New Roman"/>
      <w:b/>
      <w:bCs/>
      <w:kern w:val="2"/>
      <w:sz w:val="32"/>
      <w:szCs w:val="32"/>
    </w:rPr>
  </w:style>
  <w:style w:type="character" w:customStyle="1" w:styleId="107">
    <w:name w:val="stylecontent1"/>
    <w:qFormat/>
    <w:uiPriority w:val="0"/>
    <w:rPr>
      <w:rFonts w:hint="default" w:ascii="Arial" w:hAnsi="Arial" w:cs="Arial"/>
      <w:color w:val="000000"/>
      <w:sz w:val="21"/>
      <w:szCs w:val="21"/>
    </w:rPr>
  </w:style>
  <w:style w:type="character" w:customStyle="1" w:styleId="108">
    <w:name w:val="表格中文 Char"/>
    <w:link w:val="98"/>
    <w:qFormat/>
    <w:uiPriority w:val="0"/>
    <w:rPr>
      <w:rFonts w:ascii="Verdana" w:hAnsi="Verdana"/>
      <w:bCs/>
      <w:sz w:val="18"/>
      <w:szCs w:val="18"/>
    </w:rPr>
  </w:style>
  <w:style w:type="character" w:customStyle="1" w:styleId="109">
    <w:name w:val="纯文本 Char1"/>
    <w:semiHidden/>
    <w:qFormat/>
    <w:uiPriority w:val="99"/>
    <w:rPr>
      <w:rFonts w:ascii="宋体" w:hAnsi="Courier New" w:eastAsia="宋体" w:cs="Courier New"/>
      <w:szCs w:val="21"/>
    </w:rPr>
  </w:style>
  <w:style w:type="character" w:customStyle="1" w:styleId="110">
    <w:name w:val="t1"/>
    <w:qFormat/>
    <w:uiPriority w:val="0"/>
    <w:rPr>
      <w:color w:val="990000"/>
    </w:rPr>
  </w:style>
  <w:style w:type="character" w:customStyle="1" w:styleId="111">
    <w:name w:val="Char Char17"/>
    <w:qFormat/>
    <w:uiPriority w:val="0"/>
    <w:rPr>
      <w:rFonts w:ascii="Arial" w:hAnsi="Arial" w:eastAsia="黑体"/>
      <w:b/>
      <w:bCs/>
      <w:kern w:val="2"/>
      <w:sz w:val="32"/>
      <w:szCs w:val="32"/>
      <w:lang w:val="en-US" w:eastAsia="zh-CN" w:bidi="ar-SA"/>
    </w:rPr>
  </w:style>
  <w:style w:type="character" w:customStyle="1" w:styleId="112">
    <w:name w:val="编号1 Char Char"/>
    <w:link w:val="113"/>
    <w:qFormat/>
    <w:uiPriority w:val="0"/>
    <w:rPr>
      <w:rFonts w:ascii="Times New Roman" w:hAnsi="Times New Roman"/>
      <w:sz w:val="24"/>
      <w:szCs w:val="24"/>
    </w:rPr>
  </w:style>
  <w:style w:type="paragraph" w:customStyle="1" w:styleId="113">
    <w:name w:val="编号1"/>
    <w:basedOn w:val="1"/>
    <w:link w:val="112"/>
    <w:qFormat/>
    <w:uiPriority w:val="0"/>
    <w:pPr>
      <w:tabs>
        <w:tab w:val="left" w:pos="720"/>
        <w:tab w:val="left" w:pos="993"/>
      </w:tabs>
      <w:spacing w:afterLines="30" w:line="288" w:lineRule="auto"/>
      <w:ind w:firstLine="360" w:firstLineChars="150"/>
    </w:pPr>
    <w:rPr>
      <w:rFonts w:ascii="Times New Roman" w:hAnsi="Times New Roman"/>
      <w:sz w:val="24"/>
      <w:szCs w:val="24"/>
    </w:rPr>
  </w:style>
  <w:style w:type="character" w:customStyle="1" w:styleId="114">
    <w:name w:val="表格中正文 Char"/>
    <w:qFormat/>
    <w:uiPriority w:val="0"/>
    <w:rPr>
      <w:rFonts w:eastAsia="宋体"/>
      <w:sz w:val="21"/>
      <w:lang w:val="en-US" w:eastAsia="zh-CN" w:bidi="ar-SA"/>
    </w:rPr>
  </w:style>
  <w:style w:type="character" w:customStyle="1" w:styleId="115">
    <w:name w:val="正文文本缩进 Char1"/>
    <w:basedOn w:val="51"/>
    <w:semiHidden/>
    <w:qFormat/>
    <w:uiPriority w:val="99"/>
  </w:style>
  <w:style w:type="paragraph" w:customStyle="1" w:styleId="116">
    <w:name w:val="01 parapoint"/>
    <w:basedOn w:val="1"/>
    <w:qFormat/>
    <w:uiPriority w:val="0"/>
    <w:pPr>
      <w:widowControl/>
      <w:tabs>
        <w:tab w:val="left" w:pos="360"/>
      </w:tabs>
      <w:spacing w:after="180"/>
      <w:ind w:left="288" w:hanging="288"/>
      <w:jc w:val="left"/>
    </w:pPr>
    <w:rPr>
      <w:rFonts w:ascii="Times New Roman" w:hAnsi="Times New Roman" w:eastAsia="宋体" w:cs="Times New Roman"/>
      <w:kern w:val="0"/>
      <w:sz w:val="24"/>
      <w:szCs w:val="20"/>
      <w:lang w:eastAsia="en-US"/>
    </w:rPr>
  </w:style>
  <w:style w:type="paragraph" w:customStyle="1" w:styleId="11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character" w:customStyle="1" w:styleId="118">
    <w:name w:val="正文文本缩进 2 Char1"/>
    <w:basedOn w:val="51"/>
    <w:semiHidden/>
    <w:qFormat/>
    <w:uiPriority w:val="99"/>
  </w:style>
  <w:style w:type="character" w:customStyle="1" w:styleId="119">
    <w:name w:val="正文文本 3 Char1"/>
    <w:basedOn w:val="51"/>
    <w:semiHidden/>
    <w:qFormat/>
    <w:uiPriority w:val="99"/>
    <w:rPr>
      <w:sz w:val="16"/>
      <w:szCs w:val="16"/>
    </w:rPr>
  </w:style>
  <w:style w:type="character" w:customStyle="1" w:styleId="120">
    <w:name w:val="正文文本缩进 3 Char1"/>
    <w:basedOn w:val="51"/>
    <w:semiHidden/>
    <w:qFormat/>
    <w:uiPriority w:val="99"/>
    <w:rPr>
      <w:sz w:val="16"/>
      <w:szCs w:val="16"/>
    </w:rPr>
  </w:style>
  <w:style w:type="paragraph" w:customStyle="1" w:styleId="121">
    <w:name w:val="正文首行缩进1"/>
    <w:basedOn w:val="15"/>
    <w:qFormat/>
    <w:uiPriority w:val="0"/>
    <w:pPr>
      <w:spacing w:line="360" w:lineRule="auto"/>
      <w:ind w:firstLine="200"/>
    </w:pPr>
    <w:rPr>
      <w:rFonts w:ascii="仿宋_GB2312" w:hAnsi="Verdana" w:eastAsia="仿宋_GB2312"/>
      <w:kern w:val="0"/>
      <w:sz w:val="20"/>
      <w:szCs w:val="20"/>
    </w:rPr>
  </w:style>
  <w:style w:type="paragraph" w:customStyle="1" w:styleId="122">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character" w:customStyle="1" w:styleId="123">
    <w:name w:val="正文文本 Char2"/>
    <w:basedOn w:val="51"/>
    <w:semiHidden/>
    <w:qFormat/>
    <w:uiPriority w:val="99"/>
  </w:style>
  <w:style w:type="character" w:customStyle="1" w:styleId="124">
    <w:name w:val="批注框文本 Char1"/>
    <w:basedOn w:val="51"/>
    <w:semiHidden/>
    <w:qFormat/>
    <w:uiPriority w:val="99"/>
    <w:rPr>
      <w:sz w:val="18"/>
      <w:szCs w:val="18"/>
    </w:rPr>
  </w:style>
  <w:style w:type="character" w:customStyle="1" w:styleId="125">
    <w:name w:val="批注文字 Char1"/>
    <w:basedOn w:val="51"/>
    <w:qFormat/>
    <w:uiPriority w:val="0"/>
  </w:style>
  <w:style w:type="character" w:customStyle="1" w:styleId="126">
    <w:name w:val="批注主题 Char1"/>
    <w:basedOn w:val="125"/>
    <w:semiHidden/>
    <w:qFormat/>
    <w:uiPriority w:val="99"/>
    <w:rPr>
      <w:b/>
      <w:bCs/>
    </w:rPr>
  </w:style>
  <w:style w:type="character" w:customStyle="1" w:styleId="127">
    <w:name w:val="日期 Char1"/>
    <w:basedOn w:val="51"/>
    <w:semiHidden/>
    <w:qFormat/>
    <w:uiPriority w:val="99"/>
  </w:style>
  <w:style w:type="paragraph" w:customStyle="1" w:styleId="128">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character" w:customStyle="1" w:styleId="129">
    <w:name w:val="标题 Char2"/>
    <w:basedOn w:val="51"/>
    <w:qFormat/>
    <w:uiPriority w:val="10"/>
    <w:rPr>
      <w:rFonts w:eastAsia="宋体" w:asciiTheme="majorHAnsi" w:hAnsiTheme="majorHAnsi" w:cstheme="majorBidi"/>
      <w:b/>
      <w:bCs/>
      <w:sz w:val="32"/>
      <w:szCs w:val="32"/>
    </w:rPr>
  </w:style>
  <w:style w:type="character" w:customStyle="1" w:styleId="130">
    <w:name w:val="纯文本 Char2"/>
    <w:basedOn w:val="51"/>
    <w:semiHidden/>
    <w:qFormat/>
    <w:uiPriority w:val="99"/>
    <w:rPr>
      <w:rFonts w:ascii="宋体" w:hAnsi="Courier New" w:eastAsia="宋体" w:cs="Courier New"/>
      <w:szCs w:val="21"/>
    </w:rPr>
  </w:style>
  <w:style w:type="paragraph" w:customStyle="1" w:styleId="131">
    <w:name w:val="xl9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132">
    <w:name w:val="正文首行缩进 Char2"/>
    <w:basedOn w:val="123"/>
    <w:semiHidden/>
    <w:qFormat/>
    <w:uiPriority w:val="99"/>
  </w:style>
  <w:style w:type="character" w:customStyle="1" w:styleId="133">
    <w:name w:val="正文文本 2 Char1"/>
    <w:basedOn w:val="51"/>
    <w:semiHidden/>
    <w:qFormat/>
    <w:uiPriority w:val="99"/>
  </w:style>
  <w:style w:type="character" w:customStyle="1" w:styleId="134">
    <w:name w:val="尾注文本 Char1"/>
    <w:basedOn w:val="51"/>
    <w:semiHidden/>
    <w:qFormat/>
    <w:uiPriority w:val="99"/>
  </w:style>
  <w:style w:type="paragraph" w:customStyle="1" w:styleId="13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36">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37">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b/>
      <w:bCs/>
      <w:color w:val="000000"/>
      <w:kern w:val="0"/>
      <w:sz w:val="24"/>
      <w:szCs w:val="24"/>
    </w:rPr>
  </w:style>
  <w:style w:type="paragraph" w:customStyle="1" w:styleId="138">
    <w:name w:val="小圆点"/>
    <w:basedOn w:val="1"/>
    <w:qFormat/>
    <w:uiPriority w:val="0"/>
    <w:pPr>
      <w:tabs>
        <w:tab w:val="left" w:pos="425"/>
      </w:tabs>
      <w:snapToGrid w:val="0"/>
      <w:spacing w:line="300" w:lineRule="auto"/>
      <w:ind w:left="425" w:hanging="425"/>
    </w:pPr>
    <w:rPr>
      <w:rFonts w:ascii="Times New Roman" w:hAnsi="Times New Roman" w:eastAsia="楷体_GB2312" w:cs="Times New Roman"/>
      <w:sz w:val="18"/>
      <w:szCs w:val="20"/>
    </w:rPr>
  </w:style>
  <w:style w:type="paragraph" w:customStyle="1" w:styleId="139">
    <w:name w:val="xl10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0"/>
      <w:sz w:val="22"/>
      <w:szCs w:val="22"/>
      <w:u w:color="000000"/>
      <w:lang w:val="zh-TW" w:eastAsia="zh-TW" w:bidi="ar-SA"/>
    </w:rPr>
  </w:style>
  <w:style w:type="paragraph" w:customStyle="1" w:styleId="141">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142">
    <w:name w:val="表格内正文"/>
    <w:qFormat/>
    <w:uiPriority w:val="0"/>
    <w:pPr>
      <w:widowControl w:val="0"/>
      <w:adjustRightInd w:val="0"/>
      <w:spacing w:line="240" w:lineRule="atLeast"/>
      <w:jc w:val="both"/>
      <w:textAlignment w:val="baseline"/>
    </w:pPr>
    <w:rPr>
      <w:rFonts w:ascii="Times New Roman" w:hAnsi="Times New Roman" w:eastAsia="宋体" w:cs="Times New Roman"/>
      <w:kern w:val="0"/>
      <w:sz w:val="21"/>
      <w:szCs w:val="21"/>
      <w:lang w:val="en-US" w:eastAsia="zh-CN" w:bidi="ar-SA"/>
    </w:rPr>
  </w:style>
  <w:style w:type="paragraph" w:customStyle="1" w:styleId="143">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kern w:val="0"/>
      <w:sz w:val="24"/>
      <w:szCs w:val="24"/>
    </w:rPr>
  </w:style>
  <w:style w:type="paragraph" w:customStyle="1" w:styleId="144">
    <w:name w:val="图片居中"/>
    <w:basedOn w:val="1"/>
    <w:next w:val="14"/>
    <w:qFormat/>
    <w:uiPriority w:val="0"/>
    <w:pPr>
      <w:ind w:left="-1080" w:leftChars="-450" w:right="-1234" w:rightChars="-514"/>
      <w:jc w:val="center"/>
    </w:pPr>
    <w:rPr>
      <w:rFonts w:ascii="Times New Roman" w:hAnsi="Times New Roman" w:eastAsia="宋体" w:cs="Times New Roman"/>
      <w:sz w:val="24"/>
      <w:szCs w:val="24"/>
    </w:rPr>
  </w:style>
  <w:style w:type="paragraph" w:customStyle="1" w:styleId="145">
    <w:name w:val="编号3"/>
    <w:basedOn w:val="1"/>
    <w:qFormat/>
    <w:uiPriority w:val="0"/>
    <w:pPr>
      <w:tabs>
        <w:tab w:val="left" w:pos="1260"/>
      </w:tabs>
      <w:spacing w:afterLines="30" w:line="288" w:lineRule="auto"/>
      <w:ind w:left="1260" w:hanging="693"/>
    </w:pPr>
    <w:rPr>
      <w:rFonts w:ascii="Times New Roman" w:hAnsi="Times New Roman" w:eastAsia="宋体" w:cs="Times New Roman"/>
      <w:bCs/>
      <w:sz w:val="24"/>
      <w:szCs w:val="24"/>
    </w:rPr>
  </w:style>
  <w:style w:type="paragraph" w:customStyle="1" w:styleId="146">
    <w:name w:val="表格文字+居中对齐"/>
    <w:basedOn w:val="1"/>
    <w:qFormat/>
    <w:uiPriority w:val="0"/>
    <w:pPr>
      <w:adjustRightInd w:val="0"/>
      <w:snapToGrid w:val="0"/>
      <w:jc w:val="center"/>
    </w:pPr>
    <w:rPr>
      <w:rFonts w:ascii="Times New Roman" w:hAnsi="Times New Roman" w:eastAsia="宋体" w:cs="Times New Roman"/>
      <w:sz w:val="24"/>
      <w:szCs w:val="24"/>
    </w:rPr>
  </w:style>
  <w:style w:type="paragraph" w:customStyle="1" w:styleId="147">
    <w:name w:val="xl8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9">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50">
    <w:name w:val="xl9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51">
    <w:name w:val="xl9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52">
    <w:name w:val="表格中正文"/>
    <w:qFormat/>
    <w:uiPriority w:val="0"/>
    <w:pPr>
      <w:widowControl w:val="0"/>
      <w:adjustRightInd w:val="0"/>
      <w:spacing w:before="60" w:after="60"/>
      <w:jc w:val="both"/>
      <w:textAlignment w:val="baseline"/>
    </w:pPr>
    <w:rPr>
      <w:rFonts w:ascii="Times New Roman" w:hAnsi="Times New Roman" w:eastAsia="宋体" w:cs="Times New Roman"/>
      <w:kern w:val="0"/>
      <w:sz w:val="21"/>
      <w:szCs w:val="20"/>
      <w:lang w:val="en-US" w:eastAsia="zh-CN" w:bidi="ar-SA"/>
    </w:rPr>
  </w:style>
  <w:style w:type="paragraph" w:customStyle="1" w:styleId="15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4">
    <w:name w:val="加粗正文"/>
    <w:basedOn w:val="14"/>
    <w:qFormat/>
    <w:uiPriority w:val="0"/>
    <w:pPr>
      <w:spacing w:afterLines="30" w:line="288" w:lineRule="auto"/>
      <w:ind w:firstLine="482" w:firstLineChars="200"/>
    </w:pPr>
    <w:rPr>
      <w:b/>
      <w:bCs/>
      <w:sz w:val="24"/>
    </w:rPr>
  </w:style>
  <w:style w:type="paragraph" w:customStyle="1" w:styleId="155">
    <w:name w:val="xl9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5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57">
    <w:name w:val="l小标题"/>
    <w:next w:val="158"/>
    <w:qFormat/>
    <w:uiPriority w:val="0"/>
    <w:pPr>
      <w:spacing w:line="360" w:lineRule="auto"/>
    </w:pPr>
    <w:rPr>
      <w:rFonts w:ascii="Times New Roman" w:hAnsi="Times New Roman" w:eastAsia="宋体" w:cs="Times New Roman"/>
      <w:b/>
      <w:iCs/>
      <w:kern w:val="2"/>
      <w:sz w:val="22"/>
      <w:szCs w:val="22"/>
      <w:lang w:val="en-US" w:eastAsia="zh-CN" w:bidi="ar-SA"/>
    </w:rPr>
  </w:style>
  <w:style w:type="paragraph" w:customStyle="1" w:styleId="158">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159">
    <w:name w:val="表中正文"/>
    <w:qFormat/>
    <w:uiPriority w:val="0"/>
    <w:pPr>
      <w:widowControl w:val="0"/>
      <w:adjustRightInd w:val="0"/>
      <w:spacing w:line="260" w:lineRule="atLeast"/>
      <w:jc w:val="center"/>
      <w:textAlignment w:val="baseline"/>
    </w:pPr>
    <w:rPr>
      <w:rFonts w:ascii="Times New Roman" w:hAnsi="Times New Roman" w:eastAsia="宋体" w:cs="Times New Roman"/>
      <w:kern w:val="0"/>
      <w:sz w:val="24"/>
      <w:szCs w:val="20"/>
      <w:lang w:val="en-US" w:eastAsia="zh-CN" w:bidi="ar-SA"/>
    </w:rPr>
  </w:style>
  <w:style w:type="paragraph" w:customStyle="1" w:styleId="160">
    <w:name w:val="表中文字"/>
    <w:qFormat/>
    <w:uiPriority w:val="0"/>
    <w:pPr>
      <w:widowControl w:val="0"/>
      <w:adjustRightInd w:val="0"/>
      <w:spacing w:before="60" w:after="60" w:line="240" w:lineRule="atLeast"/>
      <w:jc w:val="center"/>
      <w:textAlignment w:val="baseline"/>
    </w:pPr>
    <w:rPr>
      <w:rFonts w:ascii="宋体" w:hAnsi="Times New Roman" w:eastAsia="宋体" w:cs="Times New Roman"/>
      <w:kern w:val="0"/>
      <w:sz w:val="28"/>
      <w:szCs w:val="20"/>
      <w:lang w:val="en-US" w:eastAsia="zh-CN" w:bidi="ar-SA"/>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楷体" w:hAnsi="楷体" w:eastAsia="楷体" w:cs="宋体"/>
      <w:kern w:val="0"/>
      <w:sz w:val="24"/>
      <w:szCs w:val="24"/>
    </w:rPr>
  </w:style>
  <w:style w:type="paragraph" w:customStyle="1" w:styleId="162">
    <w:name w:val="3"/>
    <w:basedOn w:val="1"/>
    <w:next w:val="24"/>
    <w:qFormat/>
    <w:uiPriority w:val="0"/>
    <w:pPr>
      <w:spacing w:line="360" w:lineRule="auto"/>
      <w:ind w:left="420" w:right="22" w:firstLine="480"/>
    </w:pPr>
    <w:rPr>
      <w:rFonts w:ascii="宋体" w:hAnsi="宋体" w:eastAsia="宋体" w:cs="Times New Roman"/>
      <w:szCs w:val="20"/>
    </w:rPr>
  </w:style>
  <w:style w:type="paragraph" w:customStyle="1" w:styleId="163">
    <w:name w:val="xl63"/>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64">
    <w:name w:val="p17"/>
    <w:basedOn w:val="1"/>
    <w:qFormat/>
    <w:uiPriority w:val="0"/>
    <w:pPr>
      <w:widowControl/>
      <w:spacing w:line="360" w:lineRule="auto"/>
      <w:ind w:firstLine="420"/>
    </w:pPr>
    <w:rPr>
      <w:rFonts w:ascii="Times New Roman" w:hAnsi="Times New Roman" w:eastAsia="宋体" w:cs="Times New Roman"/>
      <w:kern w:val="0"/>
      <w:szCs w:val="20"/>
    </w:rPr>
  </w:style>
  <w:style w:type="paragraph" w:customStyle="1" w:styleId="165">
    <w:name w:val="样式1"/>
    <w:basedOn w:val="1"/>
    <w:next w:val="5"/>
    <w:link w:val="225"/>
    <w:qFormat/>
    <w:uiPriority w:val="0"/>
    <w:pPr>
      <w:spacing w:line="360" w:lineRule="auto"/>
    </w:pPr>
    <w:rPr>
      <w:rFonts w:ascii="仿宋_GB2312" w:hAnsi="Times New Roman" w:eastAsia="仿宋_GB2312" w:cs="Times New Roman"/>
      <w:color w:val="000000"/>
      <w:sz w:val="28"/>
      <w:szCs w:val="28"/>
    </w:rPr>
  </w:style>
  <w:style w:type="paragraph" w:customStyle="1" w:styleId="16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7">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68">
    <w:name w:val="列出段落11"/>
    <w:basedOn w:val="1"/>
    <w:qFormat/>
    <w:uiPriority w:val="34"/>
    <w:pPr>
      <w:ind w:firstLine="420" w:firstLineChars="200"/>
    </w:pPr>
    <w:rPr>
      <w:rFonts w:ascii="Calibri" w:hAnsi="Calibri" w:eastAsia="宋体" w:cs="Times New Roman"/>
    </w:rPr>
  </w:style>
  <w:style w:type="paragraph" w:customStyle="1" w:styleId="169">
    <w:name w:val="正文1"/>
    <w:basedOn w:val="1"/>
    <w:qFormat/>
    <w:uiPriority w:val="0"/>
    <w:pPr>
      <w:spacing w:beforeLines="50" w:afterLines="50" w:line="288" w:lineRule="auto"/>
      <w:ind w:firstLine="200" w:firstLineChars="200"/>
    </w:pPr>
    <w:rPr>
      <w:rFonts w:ascii="Times New Roman" w:hAnsi="Times New Roman" w:eastAsia="宋体" w:cs="Times New Roman"/>
      <w:sz w:val="24"/>
    </w:rPr>
  </w:style>
  <w:style w:type="paragraph" w:customStyle="1" w:styleId="170">
    <w:name w:val="图文字体"/>
    <w:basedOn w:val="1"/>
    <w:qFormat/>
    <w:uiPriority w:val="0"/>
    <w:pPr>
      <w:snapToGrid w:val="0"/>
      <w:spacing w:line="300" w:lineRule="auto"/>
    </w:pPr>
    <w:rPr>
      <w:rFonts w:ascii="Times New Roman" w:hAnsi="Times New Roman" w:eastAsia="楷体_GB2312" w:cs="Times New Roman"/>
      <w:sz w:val="18"/>
      <w:szCs w:val="20"/>
    </w:rPr>
  </w:style>
  <w:style w:type="paragraph" w:customStyle="1" w:styleId="171">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72">
    <w:name w:val="1.Text"/>
    <w:basedOn w:val="1"/>
    <w:qFormat/>
    <w:uiPriority w:val="0"/>
    <w:pPr>
      <w:autoSpaceDE w:val="0"/>
      <w:adjustRightInd w:val="0"/>
      <w:snapToGrid w:val="0"/>
      <w:spacing w:before="50" w:line="360" w:lineRule="auto"/>
      <w:ind w:firstLine="200" w:firstLineChars="200"/>
    </w:pPr>
    <w:rPr>
      <w:rFonts w:ascii="宋体" w:hAnsi="宋体" w:eastAsia="宋体" w:cs="Times New Roman"/>
      <w:snapToGrid w:val="0"/>
      <w:szCs w:val="20"/>
    </w:rPr>
  </w:style>
  <w:style w:type="paragraph" w:customStyle="1" w:styleId="173">
    <w:name w:val="2"/>
    <w:basedOn w:val="1"/>
    <w:next w:val="23"/>
    <w:qFormat/>
    <w:uiPriority w:val="0"/>
    <w:pPr>
      <w:ind w:left="559" w:leftChars="266"/>
    </w:pPr>
    <w:rPr>
      <w:rFonts w:ascii="仿宋_GB2312" w:hAnsi="Times New Roman" w:eastAsia="仿宋_GB2312" w:cs="Times New Roman"/>
      <w:sz w:val="28"/>
      <w:szCs w:val="24"/>
    </w:rPr>
  </w:style>
  <w:style w:type="paragraph" w:customStyle="1" w:styleId="174">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75">
    <w:name w:val="xl6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76">
    <w:name w:val="列出段落121"/>
    <w:basedOn w:val="1"/>
    <w:qFormat/>
    <w:uiPriority w:val="34"/>
    <w:pPr>
      <w:ind w:firstLine="420" w:firstLineChars="200"/>
    </w:pPr>
    <w:rPr>
      <w:rFonts w:ascii="Times New Roman" w:hAnsi="Times New Roman" w:eastAsia="宋体" w:cs="Times New Roman"/>
    </w:rPr>
  </w:style>
  <w:style w:type="paragraph" w:customStyle="1" w:styleId="177">
    <w:name w:val="xl8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78">
    <w:name w:val="样式 标题 3 + (中文) 黑体 小四 非加粗 段前: 7.8 磅 段后: 0 磅 行距: 固定值 20 磅"/>
    <w:basedOn w:val="4"/>
    <w:qFormat/>
    <w:uiPriority w:val="0"/>
    <w:pPr>
      <w:tabs>
        <w:tab w:val="clear" w:pos="1418"/>
      </w:tabs>
      <w:spacing w:before="0" w:after="0" w:line="400" w:lineRule="exact"/>
      <w:ind w:firstLine="0"/>
    </w:pPr>
    <w:rPr>
      <w:rFonts w:ascii="Times New Roman" w:hAnsi="Times New Roman" w:eastAsia="黑体" w:cs="宋体"/>
      <w:b w:val="0"/>
      <w:bCs w:val="0"/>
      <w:sz w:val="24"/>
      <w:szCs w:val="20"/>
    </w:rPr>
  </w:style>
  <w:style w:type="paragraph" w:customStyle="1" w:styleId="179">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kern w:val="0"/>
      <w:sz w:val="24"/>
      <w:szCs w:val="24"/>
    </w:rPr>
  </w:style>
  <w:style w:type="paragraph" w:customStyle="1" w:styleId="180">
    <w:name w:val="列出段落12"/>
    <w:basedOn w:val="1"/>
    <w:qFormat/>
    <w:uiPriority w:val="99"/>
    <w:pPr>
      <w:ind w:firstLine="420" w:firstLineChars="200"/>
    </w:pPr>
    <w:rPr>
      <w:rFonts w:ascii="Times New Roman" w:hAnsi="Times New Roman" w:eastAsia="宋体" w:cs="Times New Roman"/>
    </w:rPr>
  </w:style>
  <w:style w:type="paragraph" w:customStyle="1" w:styleId="181">
    <w:name w:val="正文（栏位说明）"/>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customStyle="1" w:styleId="182">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8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4">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5">
    <w:name w:val="样式 标题 2 + Times New Roman 四号 非加粗 段前: 5 磅 段后: 0 磅 行距: 固定值 20..."/>
    <w:basedOn w:val="3"/>
    <w:qFormat/>
    <w:uiPriority w:val="0"/>
    <w:pPr>
      <w:tabs>
        <w:tab w:val="clear" w:pos="708"/>
      </w:tabs>
      <w:spacing w:before="100" w:line="400" w:lineRule="exact"/>
      <w:textAlignment w:val="auto"/>
    </w:pPr>
    <w:rPr>
      <w:rFonts w:ascii="Times New Roman" w:hAnsi="Times New Roman" w:cs="宋体"/>
      <w:b w:val="0"/>
      <w:bCs w:val="0"/>
      <w:kern w:val="2"/>
      <w:szCs w:val="20"/>
    </w:rPr>
  </w:style>
  <w:style w:type="paragraph" w:customStyle="1" w:styleId="18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87">
    <w:name w:val="xl9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kern w:val="0"/>
      <w:sz w:val="24"/>
      <w:szCs w:val="24"/>
    </w:rPr>
  </w:style>
  <w:style w:type="paragraph" w:customStyle="1" w:styleId="188">
    <w:name w:val="aaa"/>
    <w:basedOn w:val="1"/>
    <w:qFormat/>
    <w:uiPriority w:val="0"/>
    <w:pPr>
      <w:spacing w:after="120" w:line="360" w:lineRule="auto"/>
      <w:ind w:firstLine="567"/>
    </w:pPr>
    <w:rPr>
      <w:rFonts w:ascii="宋体" w:hAnsi="宋体" w:eastAsia="宋体" w:cs="Times New Roman"/>
      <w:szCs w:val="20"/>
    </w:rPr>
  </w:style>
  <w:style w:type="paragraph" w:customStyle="1" w:styleId="189">
    <w:name w:val="xl10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0">
    <w:name w:val="p0"/>
    <w:basedOn w:val="1"/>
    <w:qFormat/>
    <w:uiPriority w:val="0"/>
    <w:rPr>
      <w:rFonts w:ascii="Times New Roman" w:hAnsi="Times New Roman" w:eastAsia="宋体" w:cs="Times New Roman"/>
      <w:kern w:val="0"/>
      <w:szCs w:val="20"/>
    </w:rPr>
  </w:style>
  <w:style w:type="paragraph" w:customStyle="1" w:styleId="191">
    <w:name w:val="Char"/>
    <w:basedOn w:val="1"/>
    <w:qFormat/>
    <w:uiPriority w:val="0"/>
    <w:rPr>
      <w:rFonts w:ascii="Tahoma" w:hAnsi="Tahoma" w:eastAsia="宋体" w:cs="Times New Roman"/>
      <w:sz w:val="24"/>
      <w:szCs w:val="20"/>
    </w:rPr>
  </w:style>
  <w:style w:type="paragraph" w:customStyle="1" w:styleId="192">
    <w:name w:val="xl7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b/>
      <w:bCs/>
      <w:color w:val="000000"/>
      <w:kern w:val="0"/>
      <w:sz w:val="24"/>
      <w:szCs w:val="24"/>
    </w:rPr>
  </w:style>
  <w:style w:type="paragraph" w:customStyle="1" w:styleId="195">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9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97">
    <w:name w:val="小标题"/>
    <w:basedOn w:val="1"/>
    <w:next w:val="1"/>
    <w:qFormat/>
    <w:uiPriority w:val="0"/>
    <w:pPr>
      <w:tabs>
        <w:tab w:val="left" w:pos="425"/>
      </w:tabs>
      <w:snapToGrid w:val="0"/>
      <w:spacing w:before="120" w:after="120"/>
      <w:ind w:left="425" w:hanging="425"/>
    </w:pPr>
    <w:rPr>
      <w:rFonts w:ascii="Times New Roman" w:hAnsi="Times New Roman" w:eastAsia="黑体" w:cs="Times New Roman"/>
      <w:b/>
      <w:sz w:val="30"/>
      <w:szCs w:val="20"/>
    </w:rPr>
  </w:style>
  <w:style w:type="paragraph" w:customStyle="1" w:styleId="198">
    <w:name w:val="红色+标题4"/>
    <w:basedOn w:val="5"/>
    <w:next w:val="1"/>
    <w:qFormat/>
    <w:uiPriority w:val="0"/>
    <w:pPr>
      <w:tabs>
        <w:tab w:val="left" w:pos="851"/>
      </w:tabs>
      <w:spacing w:before="120" w:after="120" w:line="360" w:lineRule="auto"/>
      <w:ind w:left="851" w:hanging="851"/>
    </w:pPr>
    <w:rPr>
      <w:rFonts w:ascii="Times New Roman" w:hAnsi="Times New Roman"/>
      <w:color w:val="FF0000"/>
      <w:kern w:val="2"/>
    </w:rPr>
  </w:style>
  <w:style w:type="paragraph" w:customStyle="1" w:styleId="199">
    <w:name w:val="xl95"/>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200">
    <w:name w:val="表格文字+表头加粗"/>
    <w:basedOn w:val="1"/>
    <w:qFormat/>
    <w:uiPriority w:val="0"/>
    <w:pPr>
      <w:adjustRightInd w:val="0"/>
      <w:snapToGrid w:val="0"/>
      <w:spacing w:beforeLines="20" w:afterLines="20"/>
      <w:jc w:val="center"/>
    </w:pPr>
    <w:rPr>
      <w:rFonts w:ascii="Times New Roman" w:hAnsi="Times New Roman" w:eastAsia="宋体" w:cs="Times New Roman"/>
      <w:b/>
      <w:sz w:val="24"/>
      <w:szCs w:val="24"/>
    </w:rPr>
  </w:style>
  <w:style w:type="paragraph" w:customStyle="1" w:styleId="201">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02">
    <w:name w:val="样式8"/>
    <w:basedOn w:val="1"/>
    <w:qFormat/>
    <w:uiPriority w:val="0"/>
    <w:pPr>
      <w:widowControl/>
      <w:spacing w:before="120" w:line="288" w:lineRule="auto"/>
      <w:ind w:left="1713" w:hanging="454"/>
    </w:pPr>
    <w:rPr>
      <w:rFonts w:ascii="Arial" w:hAnsi="Arial" w:eastAsia="宋体" w:cs="Times New Roman"/>
      <w:kern w:val="0"/>
      <w:szCs w:val="20"/>
    </w:rPr>
  </w:style>
  <w:style w:type="paragraph" w:customStyle="1" w:styleId="203">
    <w:name w:val="xl8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04">
    <w:name w:val="xl10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05">
    <w:name w:val="xl23"/>
    <w:basedOn w:val="1"/>
    <w:qFormat/>
    <w:uiPriority w:val="0"/>
    <w:pPr>
      <w:widowControl/>
      <w:pBdr>
        <w:left w:val="single" w:color="auto" w:sz="4" w:space="0"/>
        <w:bottom w:val="single" w:color="auto" w:sz="4" w:space="0"/>
        <w:right w:val="single" w:color="auto" w:sz="4" w:space="0"/>
      </w:pBdr>
      <w:spacing w:before="100" w:after="100"/>
      <w:textAlignment w:val="top"/>
    </w:pPr>
    <w:rPr>
      <w:rFonts w:ascii="宋体" w:hAnsi="宋体" w:eastAsia="宋体" w:cs="Times New Roman"/>
      <w:kern w:val="0"/>
      <w:sz w:val="24"/>
      <w:szCs w:val="24"/>
    </w:rPr>
  </w:style>
  <w:style w:type="paragraph" w:customStyle="1" w:styleId="206">
    <w:name w:val="缺省文本"/>
    <w:basedOn w:val="1"/>
    <w:qFormat/>
    <w:uiPriority w:val="0"/>
    <w:pPr>
      <w:snapToGrid w:val="0"/>
    </w:pPr>
    <w:rPr>
      <w:rFonts w:ascii="Times New Roman" w:hAnsi="Times New Roman" w:eastAsia="Times New Roman" w:cs="Times New Roman"/>
      <w:snapToGrid w:val="0"/>
      <w:sz w:val="24"/>
      <w:szCs w:val="20"/>
      <w:lang w:eastAsia="en-US"/>
    </w:rPr>
  </w:style>
  <w:style w:type="paragraph" w:customStyle="1" w:styleId="207">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208">
    <w:name w:val="bullet 1"/>
    <w:basedOn w:val="1"/>
    <w:qFormat/>
    <w:uiPriority w:val="0"/>
    <w:pPr>
      <w:tabs>
        <w:tab w:val="left" w:pos="845"/>
      </w:tabs>
      <w:spacing w:beforeLines="50" w:afterLines="50" w:line="276" w:lineRule="auto"/>
      <w:ind w:left="845" w:hanging="425"/>
    </w:pPr>
    <w:rPr>
      <w:rFonts w:ascii="Times New Roman" w:hAnsi="Times New Roman" w:eastAsia="宋体" w:cs="Times New Roman"/>
      <w:szCs w:val="21"/>
    </w:rPr>
  </w:style>
  <w:style w:type="paragraph" w:customStyle="1" w:styleId="209">
    <w:name w:val="xl6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10">
    <w:name w:val="xl7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211">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2">
    <w:name w:val="xl82"/>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13">
    <w:name w:val="l列表1"/>
    <w:qFormat/>
    <w:uiPriority w:val="0"/>
    <w:pPr>
      <w:tabs>
        <w:tab w:val="left" w:pos="620"/>
        <w:tab w:val="left" w:pos="735"/>
      </w:tabs>
      <w:spacing w:line="360" w:lineRule="auto"/>
      <w:ind w:left="620" w:hanging="420"/>
    </w:pPr>
    <w:rPr>
      <w:rFonts w:ascii="Times New Roman" w:hAnsi="Times New Roman" w:eastAsia="宋体" w:cs="Times New Roman"/>
      <w:iCs/>
      <w:kern w:val="2"/>
      <w:sz w:val="22"/>
      <w:szCs w:val="22"/>
      <w:lang w:val="en-US" w:eastAsia="zh-CN" w:bidi="ar-SA"/>
    </w:rPr>
  </w:style>
  <w:style w:type="paragraph" w:customStyle="1" w:styleId="214">
    <w:name w:val="xl7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215">
    <w:name w:val="编号2"/>
    <w:basedOn w:val="1"/>
    <w:qFormat/>
    <w:uiPriority w:val="0"/>
    <w:pPr>
      <w:tabs>
        <w:tab w:val="left" w:pos="1080"/>
      </w:tabs>
      <w:spacing w:afterLines="30" w:line="288" w:lineRule="auto"/>
      <w:ind w:left="1080" w:leftChars="150" w:hanging="720" w:hangingChars="300"/>
    </w:pPr>
    <w:rPr>
      <w:rFonts w:ascii="Times New Roman" w:hAnsi="Times New Roman" w:eastAsia="宋体" w:cs="Times New Roman"/>
      <w:sz w:val="24"/>
      <w:szCs w:val="24"/>
    </w:rPr>
  </w:style>
  <w:style w:type="paragraph" w:customStyle="1" w:styleId="216">
    <w:name w:val="Default"/>
    <w:qFormat/>
    <w:uiPriority w:val="0"/>
    <w:pPr>
      <w:widowControl w:val="0"/>
      <w:autoSpaceDE w:val="0"/>
      <w:autoSpaceDN w:val="0"/>
      <w:adjustRightInd w:val="0"/>
    </w:pPr>
    <w:rPr>
      <w:rFonts w:ascii="微软雅黑" w:hAnsi="Calibri" w:eastAsia="微软雅黑" w:cs="微软雅黑"/>
      <w:color w:val="000000"/>
      <w:kern w:val="0"/>
      <w:sz w:val="24"/>
      <w:szCs w:val="24"/>
      <w:lang w:val="en-US" w:eastAsia="zh-CN" w:bidi="ar-SA"/>
    </w:rPr>
  </w:style>
  <w:style w:type="character" w:customStyle="1" w:styleId="217">
    <w:name w:val="price5"/>
    <w:qFormat/>
    <w:uiPriority w:val="0"/>
    <w:rPr>
      <w:rFonts w:hint="default" w:ascii="Arial" w:hAnsi="Arial" w:cs="Arial"/>
      <w:color w:val="CC0000"/>
      <w:sz w:val="21"/>
      <w:szCs w:val="21"/>
    </w:rPr>
  </w:style>
  <w:style w:type="character" w:customStyle="1" w:styleId="218">
    <w:name w:val="頭言葉 (文字)"/>
    <w:link w:val="219"/>
    <w:qFormat/>
    <w:uiPriority w:val="0"/>
    <w:rPr>
      <w:rFonts w:ascii="黑体" w:hAnsi="黑体" w:eastAsia="黑体" w:cs="黑体"/>
      <w:iCs/>
      <w:sz w:val="20"/>
    </w:rPr>
  </w:style>
  <w:style w:type="paragraph" w:customStyle="1" w:styleId="219">
    <w:name w:val="頭言葉"/>
    <w:basedOn w:val="220"/>
    <w:link w:val="218"/>
    <w:qFormat/>
    <w:uiPriority w:val="0"/>
    <w:pPr>
      <w:spacing w:beforeLines="50" w:afterLines="50"/>
      <w:ind w:firstLine="360" w:firstLineChars="180"/>
    </w:pPr>
    <w:rPr>
      <w:rFonts w:ascii="黑体" w:hAnsi="黑体" w:eastAsia="黑体" w:cs="黑体"/>
      <w:iCs/>
      <w:sz w:val="20"/>
    </w:rPr>
  </w:style>
  <w:style w:type="paragraph" w:customStyle="1" w:styleId="220">
    <w:name w:val="无间隔1"/>
    <w:link w:val="221"/>
    <w:qFormat/>
    <w:uiPriority w:val="0"/>
    <w:rPr>
      <w:rFonts w:asciiTheme="minorHAnsi" w:hAnsiTheme="minorHAnsi" w:eastAsiaTheme="minorEastAsia" w:cstheme="minorBidi"/>
      <w:kern w:val="2"/>
      <w:sz w:val="22"/>
      <w:szCs w:val="22"/>
      <w:lang w:val="en-US" w:eastAsia="zh-CN" w:bidi="ar-SA"/>
    </w:rPr>
  </w:style>
  <w:style w:type="character" w:customStyle="1" w:styleId="221">
    <w:name w:val="无间隔 Char"/>
    <w:link w:val="220"/>
    <w:qFormat/>
    <w:uiPriority w:val="0"/>
    <w:rPr>
      <w:sz w:val="22"/>
    </w:rPr>
  </w:style>
  <w:style w:type="character" w:customStyle="1" w:styleId="222">
    <w:name w:val="样式 样式 (中文) 宋体 行距: 1.5 倍行距 + 首行缩进:  2 字符 Char Char"/>
    <w:link w:val="223"/>
    <w:qFormat/>
    <w:uiPriority w:val="0"/>
    <w:rPr>
      <w:rFonts w:ascii="宋体" w:hAnsi="宋体"/>
      <w:sz w:val="24"/>
    </w:rPr>
  </w:style>
  <w:style w:type="paragraph" w:customStyle="1" w:styleId="223">
    <w:name w:val="样式 样式 (中文) 宋体 行距: 1.5 倍行距 + 首行缩进:  2 字符"/>
    <w:basedOn w:val="224"/>
    <w:link w:val="222"/>
    <w:qFormat/>
    <w:uiPriority w:val="0"/>
    <w:pPr>
      <w:tabs>
        <w:tab w:val="left" w:pos="360"/>
        <w:tab w:val="left" w:pos="900"/>
      </w:tabs>
      <w:spacing w:line="240" w:lineRule="atLeast"/>
      <w:ind w:firstLine="480"/>
    </w:pPr>
    <w:rPr>
      <w:rFonts w:eastAsiaTheme="minorEastAsia" w:cstheme="minorBidi"/>
      <w:kern w:val="2"/>
      <w:szCs w:val="22"/>
    </w:rPr>
  </w:style>
  <w:style w:type="paragraph" w:customStyle="1" w:styleId="224">
    <w:name w:val="样式 (中文) 宋体 行距: 1.5 倍行距"/>
    <w:basedOn w:val="1"/>
    <w:qFormat/>
    <w:uiPriority w:val="0"/>
    <w:pPr>
      <w:tabs>
        <w:tab w:val="left" w:pos="360"/>
        <w:tab w:val="left" w:pos="900"/>
      </w:tabs>
      <w:spacing w:line="360" w:lineRule="auto"/>
    </w:pPr>
    <w:rPr>
      <w:rFonts w:ascii="宋体" w:hAnsi="宋体" w:eastAsia="宋体" w:cs="Times New Roman"/>
      <w:kern w:val="0"/>
      <w:sz w:val="24"/>
      <w:szCs w:val="20"/>
    </w:rPr>
  </w:style>
  <w:style w:type="character" w:customStyle="1" w:styleId="225">
    <w:name w:val="样式1 Char"/>
    <w:link w:val="165"/>
    <w:qFormat/>
    <w:uiPriority w:val="0"/>
    <w:rPr>
      <w:rFonts w:ascii="仿宋_GB2312" w:hAnsi="Times New Roman" w:eastAsia="仿宋_GB2312" w:cs="Times New Roman"/>
      <w:color w:val="000000"/>
      <w:sz w:val="28"/>
      <w:szCs w:val="28"/>
    </w:rPr>
  </w:style>
  <w:style w:type="character" w:customStyle="1" w:styleId="226">
    <w:name w:val="页码1"/>
    <w:basedOn w:val="51"/>
    <w:qFormat/>
    <w:uiPriority w:val="0"/>
  </w:style>
  <w:style w:type="character" w:customStyle="1" w:styleId="227">
    <w:name w:val="文档结构图 Char1"/>
    <w:semiHidden/>
    <w:qFormat/>
    <w:uiPriority w:val="99"/>
    <w:rPr>
      <w:rFonts w:ascii="宋体"/>
      <w:kern w:val="2"/>
      <w:sz w:val="18"/>
      <w:szCs w:val="18"/>
    </w:rPr>
  </w:style>
  <w:style w:type="character" w:customStyle="1" w:styleId="228">
    <w:name w:val="样式4 Char Char"/>
    <w:link w:val="229"/>
    <w:qFormat/>
    <w:uiPriority w:val="0"/>
    <w:rPr>
      <w:rFonts w:ascii="Arial" w:hAnsi="Arial" w:eastAsia="黑体"/>
      <w:b/>
      <w:bCs/>
      <w:sz w:val="24"/>
      <w:szCs w:val="24"/>
    </w:rPr>
  </w:style>
  <w:style w:type="paragraph" w:customStyle="1" w:styleId="229">
    <w:name w:val="样式4"/>
    <w:basedOn w:val="7"/>
    <w:link w:val="228"/>
    <w:qFormat/>
    <w:uiPriority w:val="0"/>
    <w:pPr>
      <w:numPr>
        <w:ilvl w:val="3"/>
        <w:numId w:val="2"/>
      </w:numPr>
      <w:tabs>
        <w:tab w:val="left" w:pos="720"/>
        <w:tab w:val="clear" w:pos="1152"/>
      </w:tabs>
    </w:pPr>
    <w:rPr>
      <w:rFonts w:cstheme="minorBidi"/>
      <w:b/>
      <w:sz w:val="24"/>
    </w:rPr>
  </w:style>
  <w:style w:type="character" w:customStyle="1" w:styleId="230">
    <w:name w:val="样式6 Char Char"/>
    <w:link w:val="231"/>
    <w:qFormat/>
    <w:uiPriority w:val="0"/>
    <w:rPr>
      <w:rFonts w:ascii="Arial" w:hAnsi="Arial" w:eastAsia="宋体" w:cs="Times New Roman"/>
      <w:b/>
      <w:bCs/>
      <w:kern w:val="0"/>
      <w:sz w:val="24"/>
      <w:szCs w:val="24"/>
    </w:rPr>
  </w:style>
  <w:style w:type="paragraph" w:customStyle="1" w:styleId="231">
    <w:name w:val="样式6"/>
    <w:basedOn w:val="229"/>
    <w:link w:val="230"/>
    <w:qFormat/>
    <w:uiPriority w:val="0"/>
    <w:pPr>
      <w:numPr>
        <w:numId w:val="0"/>
      </w:numPr>
      <w:ind w:left="851" w:hanging="851"/>
    </w:pPr>
    <w:rPr>
      <w:rFonts w:eastAsia="宋体" w:cs="Times New Roman"/>
      <w:kern w:val="0"/>
    </w:rPr>
  </w:style>
  <w:style w:type="character" w:customStyle="1" w:styleId="232">
    <w:name w:val="批注引用1"/>
    <w:qFormat/>
    <w:uiPriority w:val="0"/>
    <w:rPr>
      <w:sz w:val="21"/>
      <w:szCs w:val="21"/>
    </w:rPr>
  </w:style>
  <w:style w:type="character" w:customStyle="1" w:styleId="233">
    <w:name w:val="样式7 Char Char"/>
    <w:link w:val="234"/>
    <w:qFormat/>
    <w:uiPriority w:val="0"/>
    <w:rPr>
      <w:b/>
      <w:bCs/>
      <w:sz w:val="24"/>
      <w:szCs w:val="24"/>
    </w:rPr>
  </w:style>
  <w:style w:type="paragraph" w:customStyle="1" w:styleId="234">
    <w:name w:val="样式7"/>
    <w:basedOn w:val="8"/>
    <w:link w:val="233"/>
    <w:qFormat/>
    <w:uiPriority w:val="0"/>
    <w:pPr>
      <w:numPr>
        <w:ilvl w:val="4"/>
        <w:numId w:val="2"/>
      </w:numPr>
      <w:tabs>
        <w:tab w:val="left" w:pos="1008"/>
        <w:tab w:val="clear" w:pos="2520"/>
      </w:tabs>
    </w:pPr>
    <w:rPr>
      <w:rFonts w:asciiTheme="minorHAnsi" w:hAnsiTheme="minorHAnsi" w:eastAsiaTheme="minorEastAsia" w:cstheme="minorBidi"/>
    </w:rPr>
  </w:style>
  <w:style w:type="character" w:customStyle="1" w:styleId="235">
    <w:name w:val="正文（无缩进） Char Char"/>
    <w:link w:val="236"/>
    <w:qFormat/>
    <w:uiPriority w:val="0"/>
    <w:rPr>
      <w:rFonts w:ascii="仿宋" w:hAnsi="仿宋" w:eastAsia="仿宋" w:cs="Times New Roman"/>
      <w:kern w:val="0"/>
      <w:sz w:val="32"/>
    </w:rPr>
  </w:style>
  <w:style w:type="paragraph" w:customStyle="1" w:styleId="236">
    <w:name w:val="正文（无缩进）"/>
    <w:basedOn w:val="1"/>
    <w:link w:val="235"/>
    <w:qFormat/>
    <w:uiPriority w:val="0"/>
    <w:pPr>
      <w:widowControl/>
      <w:spacing w:before="120" w:after="120"/>
      <w:jc w:val="left"/>
    </w:pPr>
    <w:rPr>
      <w:rFonts w:ascii="仿宋" w:hAnsi="仿宋" w:eastAsia="仿宋" w:cs="Times New Roman"/>
      <w:kern w:val="0"/>
      <w:sz w:val="32"/>
    </w:rPr>
  </w:style>
  <w:style w:type="character" w:customStyle="1" w:styleId="237">
    <w:name w:val="date2"/>
    <w:qFormat/>
    <w:uiPriority w:val="0"/>
    <w:rPr>
      <w:rFonts w:hint="default" w:ascii="Arial" w:hAnsi="Arial" w:cs="Arial"/>
      <w:sz w:val="15"/>
      <w:szCs w:val="15"/>
    </w:rPr>
  </w:style>
  <w:style w:type="character" w:customStyle="1" w:styleId="238">
    <w:name w:val="正文段 Char"/>
    <w:link w:val="239"/>
    <w:qFormat/>
    <w:uiPriority w:val="0"/>
    <w:rPr>
      <w:sz w:val="24"/>
      <w:szCs w:val="24"/>
    </w:rPr>
  </w:style>
  <w:style w:type="paragraph" w:customStyle="1" w:styleId="239">
    <w:name w:val="正文段"/>
    <w:basedOn w:val="1"/>
    <w:link w:val="238"/>
    <w:qFormat/>
    <w:uiPriority w:val="0"/>
    <w:pPr>
      <w:spacing w:line="360" w:lineRule="auto"/>
      <w:ind w:firstLine="420"/>
    </w:pPr>
    <w:rPr>
      <w:sz w:val="24"/>
      <w:szCs w:val="24"/>
    </w:rPr>
  </w:style>
  <w:style w:type="paragraph" w:customStyle="1" w:styleId="240">
    <w:name w:val="样式2"/>
    <w:basedOn w:val="3"/>
    <w:qFormat/>
    <w:uiPriority w:val="0"/>
    <w:pPr>
      <w:numPr>
        <w:ilvl w:val="0"/>
        <w:numId w:val="3"/>
      </w:numPr>
      <w:tabs>
        <w:tab w:val="left" w:pos="425"/>
        <w:tab w:val="clear" w:pos="708"/>
      </w:tabs>
      <w:spacing w:beforeLines="50" w:afterLines="50" w:line="300" w:lineRule="auto"/>
      <w:textAlignment w:val="auto"/>
    </w:pPr>
    <w:rPr>
      <w:rFonts w:ascii="Times New Roman" w:hAnsi="Times New Roman" w:eastAsia="宋体"/>
      <w:kern w:val="32"/>
      <w:sz w:val="30"/>
    </w:rPr>
  </w:style>
  <w:style w:type="paragraph" w:customStyle="1" w:styleId="241">
    <w:name w:val="q2"/>
    <w:basedOn w:val="3"/>
    <w:qFormat/>
    <w:uiPriority w:val="0"/>
    <w:pPr>
      <w:keepNext w:val="0"/>
      <w:numPr>
        <w:ilvl w:val="0"/>
        <w:numId w:val="2"/>
      </w:numPr>
      <w:tabs>
        <w:tab w:val="clear" w:pos="708"/>
      </w:tabs>
      <w:spacing w:beforeLines="50" w:afterLines="50"/>
      <w:textAlignment w:val="auto"/>
    </w:pPr>
    <w:rPr>
      <w:rFonts w:eastAsia="宋体" w:cs="Arial"/>
      <w:kern w:val="2"/>
      <w:sz w:val="30"/>
      <w:szCs w:val="30"/>
    </w:rPr>
  </w:style>
  <w:style w:type="paragraph" w:customStyle="1" w:styleId="242">
    <w:name w:val="普通(网站)1"/>
    <w:basedOn w:val="1"/>
    <w:qFormat/>
    <w:uiPriority w:val="0"/>
    <w:pPr>
      <w:widowControl/>
      <w:numPr>
        <w:ilvl w:val="0"/>
        <w:numId w:val="4"/>
      </w:numPr>
      <w:tabs>
        <w:tab w:val="left" w:pos="425"/>
      </w:tabs>
      <w:spacing w:before="100" w:beforeAutospacing="1" w:after="100" w:afterAutospacing="1"/>
      <w:jc w:val="left"/>
    </w:pPr>
    <w:rPr>
      <w:rFonts w:ascii="宋体" w:hAnsi="宋体" w:eastAsia="宋体" w:cs="Times New Roman"/>
      <w:b/>
      <w:kern w:val="0"/>
      <w:sz w:val="30"/>
      <w:szCs w:val="24"/>
    </w:rPr>
  </w:style>
  <w:style w:type="paragraph" w:customStyle="1" w:styleId="243">
    <w:name w:val="正文文本缩进1"/>
    <w:basedOn w:val="1"/>
    <w:qFormat/>
    <w:uiPriority w:val="0"/>
    <w:pPr>
      <w:spacing w:after="120"/>
    </w:pPr>
    <w:rPr>
      <w:rFonts w:ascii="Tahoma" w:hAnsi="Tahoma" w:eastAsia="宋体" w:cs="Times New Roman"/>
      <w:bCs/>
      <w:kern w:val="0"/>
      <w:sz w:val="22"/>
      <w:szCs w:val="20"/>
    </w:rPr>
  </w:style>
  <w:style w:type="paragraph" w:customStyle="1" w:styleId="244">
    <w:name w:val="纯文本1"/>
    <w:basedOn w:val="1"/>
    <w:qFormat/>
    <w:uiPriority w:val="0"/>
    <w:rPr>
      <w:rFonts w:ascii="宋体" w:hAnsi="Courier New" w:eastAsia="宋体" w:cs="Times New Roman"/>
      <w:kern w:val="0"/>
      <w:sz w:val="20"/>
      <w:szCs w:val="21"/>
    </w:rPr>
  </w:style>
  <w:style w:type="paragraph" w:customStyle="1" w:styleId="245">
    <w:name w:val="列出段落2"/>
    <w:basedOn w:val="1"/>
    <w:qFormat/>
    <w:uiPriority w:val="0"/>
    <w:pPr>
      <w:ind w:firstLine="420" w:firstLineChars="200"/>
    </w:pPr>
    <w:rPr>
      <w:rFonts w:ascii="Times New Roman" w:hAnsi="Times New Roman" w:eastAsia="宋体" w:cs="Times New Roman"/>
      <w:szCs w:val="24"/>
    </w:rPr>
  </w:style>
  <w:style w:type="paragraph" w:customStyle="1" w:styleId="246">
    <w:name w:val="正文文本缩进 31"/>
    <w:basedOn w:val="1"/>
    <w:qFormat/>
    <w:uiPriority w:val="0"/>
    <w:pPr>
      <w:spacing w:before="50" w:after="50" w:line="300" w:lineRule="auto"/>
      <w:ind w:firstLine="508"/>
      <w:outlineLvl w:val="0"/>
    </w:pPr>
    <w:rPr>
      <w:rFonts w:ascii="宋体" w:hAnsi="Times New Roman" w:eastAsia="宋体" w:cs="Times New Roman"/>
      <w:kern w:val="0"/>
      <w:sz w:val="20"/>
      <w:szCs w:val="20"/>
    </w:rPr>
  </w:style>
  <w:style w:type="paragraph" w:customStyle="1" w:styleId="247">
    <w:name w:val="文档结构图1"/>
    <w:basedOn w:val="1"/>
    <w:qFormat/>
    <w:uiPriority w:val="0"/>
    <w:rPr>
      <w:rFonts w:ascii="宋体" w:hAnsi="Times New Roman" w:eastAsia="宋体" w:cs="Times New Roman"/>
      <w:kern w:val="0"/>
      <w:sz w:val="18"/>
      <w:szCs w:val="18"/>
    </w:rPr>
  </w:style>
  <w:style w:type="paragraph" w:customStyle="1" w:styleId="248">
    <w:name w:val="样式3"/>
    <w:basedOn w:val="3"/>
    <w:qFormat/>
    <w:uiPriority w:val="0"/>
    <w:pPr>
      <w:numPr>
        <w:ilvl w:val="0"/>
        <w:numId w:val="5"/>
      </w:numPr>
      <w:tabs>
        <w:tab w:val="left" w:pos="425"/>
        <w:tab w:val="clear" w:pos="708"/>
      </w:tabs>
      <w:spacing w:beforeLines="50" w:afterLines="50" w:line="300" w:lineRule="auto"/>
      <w:textAlignment w:val="auto"/>
    </w:pPr>
    <w:rPr>
      <w:rFonts w:ascii="Times New Roman" w:hAnsi="Times New Roman" w:eastAsia="宋体"/>
      <w:kern w:val="32"/>
      <w:sz w:val="32"/>
    </w:rPr>
  </w:style>
  <w:style w:type="paragraph" w:customStyle="1" w:styleId="249">
    <w:name w:val="第一级"/>
    <w:basedOn w:val="2"/>
    <w:qFormat/>
    <w:uiPriority w:val="0"/>
    <w:pPr>
      <w:spacing w:before="120" w:after="120" w:line="578" w:lineRule="auto"/>
      <w:ind w:left="1559" w:firstLine="0" w:firstLineChars="0"/>
      <w:jc w:val="center"/>
    </w:pPr>
    <w:rPr>
      <w:rFonts w:ascii="Times New Roman" w:hAnsi="Times New Roman" w:eastAsia="宋体"/>
    </w:rPr>
  </w:style>
  <w:style w:type="paragraph" w:customStyle="1" w:styleId="250">
    <w:name w:val="正文缩进1"/>
    <w:basedOn w:val="1"/>
    <w:qFormat/>
    <w:uiPriority w:val="0"/>
    <w:pPr>
      <w:ind w:firstLine="420" w:firstLineChars="200"/>
    </w:pPr>
    <w:rPr>
      <w:rFonts w:ascii="Times New Roman" w:hAnsi="Times New Roman" w:eastAsia="宋体" w:cs="Times New Roman"/>
      <w:szCs w:val="24"/>
    </w:rPr>
  </w:style>
  <w:style w:type="paragraph" w:customStyle="1" w:styleId="251">
    <w:name w:val="小额正文"/>
    <w:basedOn w:val="243"/>
    <w:qFormat/>
    <w:uiPriority w:val="0"/>
    <w:pPr>
      <w:spacing w:after="0" w:line="360" w:lineRule="auto"/>
      <w:ind w:firstLine="560" w:firstLineChars="200"/>
    </w:pPr>
    <w:rPr>
      <w:rFonts w:ascii="楷体_GB2312" w:hAnsi="宋体" w:eastAsia="仿宋_GB2312"/>
      <w:bCs w:val="0"/>
      <w:sz w:val="28"/>
      <w:szCs w:val="24"/>
    </w:rPr>
  </w:style>
  <w:style w:type="paragraph" w:customStyle="1" w:styleId="252">
    <w:name w:val="Char Char Char Char"/>
    <w:basedOn w:val="1"/>
    <w:qFormat/>
    <w:uiPriority w:val="0"/>
    <w:rPr>
      <w:rFonts w:ascii="Tahoma" w:hAnsi="Tahoma" w:eastAsia="宋体" w:cs="Times New Roman"/>
      <w:sz w:val="24"/>
      <w:szCs w:val="24"/>
    </w:rPr>
  </w:style>
  <w:style w:type="paragraph" w:customStyle="1" w:styleId="253">
    <w:name w:val="表格"/>
    <w:basedOn w:val="1"/>
    <w:next w:val="1"/>
    <w:qFormat/>
    <w:uiPriority w:val="0"/>
    <w:pPr>
      <w:widowControl/>
      <w:spacing w:line="360" w:lineRule="auto"/>
    </w:pPr>
    <w:rPr>
      <w:rFonts w:ascii="Times New Roman" w:hAnsi="Arial" w:eastAsia="宋体" w:cs="Times New Roman"/>
      <w:snapToGrid w:val="0"/>
      <w:kern w:val="0"/>
      <w:sz w:val="24"/>
      <w:szCs w:val="20"/>
      <w:lang w:eastAsia="en-US"/>
    </w:rPr>
  </w:style>
  <w:style w:type="paragraph" w:customStyle="1" w:styleId="254">
    <w:name w:val="q3"/>
    <w:basedOn w:val="250"/>
    <w:qFormat/>
    <w:uiPriority w:val="0"/>
    <w:pPr>
      <w:keepNext/>
      <w:keepLines/>
      <w:numPr>
        <w:ilvl w:val="2"/>
        <w:numId w:val="2"/>
      </w:numPr>
      <w:spacing w:before="280" w:after="290" w:line="360" w:lineRule="auto"/>
      <w:ind w:firstLine="0" w:firstLineChars="0"/>
      <w:outlineLvl w:val="2"/>
    </w:pPr>
    <w:rPr>
      <w:rFonts w:ascii="Arial" w:hAnsi="Arial" w:eastAsia="楷体_GB2312"/>
      <w:b/>
      <w:kern w:val="0"/>
      <w:sz w:val="24"/>
    </w:rPr>
  </w:style>
  <w:style w:type="paragraph" w:customStyle="1" w:styleId="255">
    <w:name w:val="分类正文"/>
    <w:basedOn w:val="1"/>
    <w:qFormat/>
    <w:uiPriority w:val="0"/>
    <w:pPr>
      <w:numPr>
        <w:ilvl w:val="0"/>
        <w:numId w:val="6"/>
      </w:numPr>
      <w:tabs>
        <w:tab w:val="left" w:pos="425"/>
        <w:tab w:val="clear" w:pos="420"/>
      </w:tabs>
    </w:pPr>
    <w:rPr>
      <w:rFonts w:ascii="Tahoma" w:hAnsi="Tahoma" w:eastAsia="宋体" w:cs="Times New Roman"/>
      <w:bCs/>
      <w:sz w:val="22"/>
    </w:rPr>
  </w:style>
  <w:style w:type="paragraph" w:customStyle="1" w:styleId="256">
    <w:name w:val="样式 宋体 (符号) Times New Roman 左侧:  0.74 厘米 首行缩进:  0.8 厘米 段后: 6 ..."/>
    <w:basedOn w:val="1"/>
    <w:qFormat/>
    <w:uiPriority w:val="0"/>
    <w:pPr>
      <w:spacing w:after="120" w:line="360" w:lineRule="auto"/>
      <w:ind w:firstLine="454"/>
    </w:pPr>
    <w:rPr>
      <w:rFonts w:ascii="宋体" w:hAnsi="Times New Roman" w:eastAsia="宋体" w:cs="宋体"/>
      <w:spacing w:val="4"/>
      <w:sz w:val="24"/>
      <w:szCs w:val="24"/>
      <w:lang w:val="zh-CN"/>
    </w:rPr>
  </w:style>
  <w:style w:type="paragraph" w:customStyle="1" w:styleId="257">
    <w:name w:val="样式5"/>
    <w:basedOn w:val="7"/>
    <w:qFormat/>
    <w:uiPriority w:val="0"/>
    <w:pPr>
      <w:numPr>
        <w:ilvl w:val="5"/>
        <w:numId w:val="2"/>
      </w:numPr>
    </w:pPr>
    <w:rPr>
      <w:rFonts w:eastAsia="宋体"/>
      <w:b/>
      <w:kern w:val="0"/>
      <w:sz w:val="24"/>
    </w:rPr>
  </w:style>
  <w:style w:type="paragraph" w:customStyle="1" w:styleId="258">
    <w:name w:val="日期1"/>
    <w:basedOn w:val="1"/>
    <w:next w:val="1"/>
    <w:qFormat/>
    <w:uiPriority w:val="0"/>
    <w:pPr>
      <w:spacing w:line="360" w:lineRule="auto"/>
      <w:ind w:left="100" w:leftChars="2500"/>
    </w:pPr>
    <w:rPr>
      <w:rFonts w:ascii="黑体" w:hAnsi="Times New Roman" w:eastAsia="黑体" w:cs="Times New Roman"/>
      <w:kern w:val="0"/>
      <w:sz w:val="30"/>
      <w:szCs w:val="30"/>
    </w:rPr>
  </w:style>
  <w:style w:type="paragraph" w:customStyle="1" w:styleId="259">
    <w:name w:val="样式 首行缩进:  0.74 厘米 行距: 1.5 倍行距"/>
    <w:basedOn w:val="1"/>
    <w:qFormat/>
    <w:uiPriority w:val="0"/>
    <w:pPr>
      <w:spacing w:line="360" w:lineRule="auto"/>
      <w:ind w:firstLine="420"/>
    </w:pPr>
    <w:rPr>
      <w:rFonts w:ascii="Arial" w:hAnsi="Arial" w:eastAsia="宋体" w:cs="Times New Roman"/>
      <w:kern w:val="36"/>
      <w:szCs w:val="20"/>
    </w:rPr>
  </w:style>
  <w:style w:type="paragraph" w:customStyle="1" w:styleId="260">
    <w:name w:val="样式 标题 6H6PIM 6BOD 4Bullet listLegal Level 1.6h6h61headi..."/>
    <w:basedOn w:val="7"/>
    <w:qFormat/>
    <w:uiPriority w:val="0"/>
    <w:pPr>
      <w:tabs>
        <w:tab w:val="clear" w:pos="1152"/>
      </w:tabs>
      <w:spacing w:before="0" w:after="120" w:line="0" w:lineRule="atLeast"/>
      <w:ind w:left="210" w:right="210" w:rightChars="100" w:firstLine="0"/>
    </w:pPr>
    <w:rPr>
      <w:rFonts w:ascii="宋体" w:hAnsi="宋体" w:eastAsia="宋体" w:cs="宋体"/>
      <w:kern w:val="0"/>
      <w:sz w:val="24"/>
      <w:szCs w:val="20"/>
    </w:rPr>
  </w:style>
  <w:style w:type="paragraph" w:customStyle="1" w:styleId="261">
    <w:name w:val="样式 Arial 行距: 1.5 倍行距"/>
    <w:basedOn w:val="1"/>
    <w:qFormat/>
    <w:uiPriority w:val="0"/>
    <w:pPr>
      <w:spacing w:line="360" w:lineRule="auto"/>
      <w:ind w:firstLine="200" w:firstLineChars="200"/>
    </w:pPr>
    <w:rPr>
      <w:rFonts w:ascii="Arial" w:hAnsi="Arial" w:eastAsia="宋体" w:cs="宋体"/>
      <w:szCs w:val="20"/>
    </w:rPr>
  </w:style>
  <w:style w:type="paragraph" w:customStyle="1" w:styleId="262">
    <w:name w:val="正文文本缩进 21"/>
    <w:basedOn w:val="1"/>
    <w:qFormat/>
    <w:uiPriority w:val="0"/>
    <w:pPr>
      <w:spacing w:line="360" w:lineRule="auto"/>
      <w:ind w:firstLine="601"/>
    </w:pPr>
    <w:rPr>
      <w:rFonts w:ascii="宋体" w:hAnsi="宋体" w:eastAsia="宋体" w:cs="Times New Roman"/>
      <w:kern w:val="0"/>
      <w:sz w:val="24"/>
      <w:szCs w:val="20"/>
    </w:rPr>
  </w:style>
  <w:style w:type="paragraph" w:customStyle="1" w:styleId="263">
    <w:name w:val="五号"/>
    <w:basedOn w:val="2"/>
    <w:qFormat/>
    <w:uiPriority w:val="0"/>
    <w:pPr>
      <w:numPr>
        <w:ilvl w:val="0"/>
        <w:numId w:val="7"/>
      </w:numPr>
      <w:spacing w:before="340" w:after="330" w:line="578" w:lineRule="auto"/>
      <w:ind w:firstLine="0" w:firstLineChars="0"/>
    </w:pPr>
    <w:rPr>
      <w:rFonts w:ascii="Arial" w:hAnsi="Arial"/>
      <w:sz w:val="21"/>
      <w:szCs w:val="21"/>
    </w:rPr>
  </w:style>
  <w:style w:type="paragraph" w:customStyle="1" w:styleId="264">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65">
    <w:name w:val="表格正文"/>
    <w:basedOn w:val="1"/>
    <w:qFormat/>
    <w:uiPriority w:val="0"/>
    <w:pPr>
      <w:spacing w:beforeLines="20" w:afterLines="20"/>
    </w:pPr>
    <w:rPr>
      <w:rFonts w:ascii="Times New Roman" w:hAnsi="Times New Roman" w:eastAsia="宋体" w:cs="Times New Roman"/>
      <w:sz w:val="20"/>
      <w:szCs w:val="20"/>
    </w:rPr>
  </w:style>
  <w:style w:type="paragraph" w:customStyle="1" w:styleId="266">
    <w:name w:val="正文首行缩进2"/>
    <w:basedOn w:val="22"/>
    <w:qFormat/>
    <w:uiPriority w:val="0"/>
    <w:pPr>
      <w:spacing w:after="0" w:afterLines="50"/>
      <w:ind w:left="567" w:firstLine="420" w:firstLineChars="100"/>
    </w:pPr>
    <w:rPr>
      <w:rFonts w:ascii="宋体" w:hAnsi="宋体" w:eastAsia="宋体" w:cs="Times New Roman"/>
      <w:kern w:val="0"/>
      <w:sz w:val="20"/>
      <w:szCs w:val="20"/>
    </w:rPr>
  </w:style>
  <w:style w:type="paragraph" w:customStyle="1" w:styleId="267">
    <w:name w:val="正文2"/>
    <w:basedOn w:val="243"/>
    <w:qFormat/>
    <w:uiPriority w:val="0"/>
    <w:pPr>
      <w:widowControl/>
      <w:tabs>
        <w:tab w:val="left" w:pos="5"/>
      </w:tabs>
      <w:ind w:left="598" w:leftChars="272" w:right="28"/>
      <w:jc w:val="center"/>
    </w:pPr>
    <w:rPr>
      <w:rFonts w:ascii="黑体" w:hAnsi="Arial"/>
      <w:bCs w:val="0"/>
      <w:color w:val="000000"/>
    </w:rPr>
  </w:style>
  <w:style w:type="paragraph" w:customStyle="1" w:styleId="268">
    <w:name w:val="二级列表"/>
    <w:basedOn w:val="25"/>
    <w:qFormat/>
    <w:uiPriority w:val="0"/>
    <w:pPr>
      <w:numPr>
        <w:ilvl w:val="0"/>
        <w:numId w:val="8"/>
      </w:numPr>
      <w:tabs>
        <w:tab w:val="left" w:pos="1701"/>
        <w:tab w:val="clear" w:pos="780"/>
      </w:tabs>
      <w:spacing w:line="360" w:lineRule="auto"/>
      <w:ind w:left="0" w:leftChars="0" w:firstLine="0" w:firstLineChars="0"/>
    </w:pPr>
    <w:rPr>
      <w:rFonts w:ascii="Times New Roman"/>
      <w:sz w:val="24"/>
    </w:rPr>
  </w:style>
  <w:style w:type="paragraph" w:customStyle="1" w:styleId="269">
    <w:name w:val="样式 标题 1H1第 ？ 章PIM 1h1h11heading 1TOC1st levelSection Hea..."/>
    <w:basedOn w:val="2"/>
    <w:qFormat/>
    <w:uiPriority w:val="0"/>
    <w:pPr>
      <w:pageBreakBefore/>
      <w:shd w:val="pct10" w:color="auto" w:fill="auto"/>
      <w:tabs>
        <w:tab w:val="left" w:pos="510"/>
      </w:tabs>
      <w:spacing w:before="340" w:after="330" w:line="578" w:lineRule="auto"/>
      <w:ind w:firstLine="0" w:firstLineChars="0"/>
      <w:jc w:val="center"/>
    </w:pPr>
    <w:rPr>
      <w:rFonts w:ascii="Times New Roman" w:hAnsi="Times New Roman"/>
      <w:bCs w:val="0"/>
    </w:rPr>
  </w:style>
  <w:style w:type="paragraph" w:customStyle="1" w:styleId="270">
    <w:name w:val="批注主题1"/>
    <w:basedOn w:val="12"/>
    <w:next w:val="12"/>
    <w:qFormat/>
    <w:uiPriority w:val="0"/>
    <w:rPr>
      <w:rFonts w:ascii="宋体" w:hAnsi="Times New Roman" w:eastAsia="宋体" w:cs="Times New Roman"/>
      <w:b/>
      <w:bCs/>
      <w:kern w:val="0"/>
      <w:sz w:val="20"/>
      <w:szCs w:val="20"/>
    </w:rPr>
  </w:style>
  <w:style w:type="paragraph" w:customStyle="1" w:styleId="271">
    <w:name w:val="第二级"/>
    <w:basedOn w:val="3"/>
    <w:qFormat/>
    <w:uiPriority w:val="0"/>
    <w:pPr>
      <w:tabs>
        <w:tab w:val="clear" w:pos="708"/>
      </w:tabs>
      <w:spacing w:before="260" w:after="260" w:line="416" w:lineRule="auto"/>
      <w:ind w:right="100" w:rightChars="100"/>
      <w:textAlignment w:val="auto"/>
    </w:pPr>
    <w:rPr>
      <w:rFonts w:ascii="Times New Roman" w:hAnsi="Times New Roman" w:eastAsia="宋体"/>
      <w:kern w:val="2"/>
      <w:sz w:val="32"/>
    </w:rPr>
  </w:style>
  <w:style w:type="paragraph" w:customStyle="1" w:styleId="272">
    <w:name w:val="样式 标题 3H3h33list 3H3-Heading 3l3.3l3CTHeading 3 - oldL..."/>
    <w:basedOn w:val="4"/>
    <w:qFormat/>
    <w:uiPriority w:val="0"/>
    <w:pPr>
      <w:tabs>
        <w:tab w:val="clear" w:pos="1418"/>
      </w:tabs>
      <w:spacing w:line="415" w:lineRule="auto"/>
    </w:pPr>
    <w:rPr>
      <w:rFonts w:ascii="宋体" w:hAnsi="Times New Roman" w:eastAsia="黑体"/>
      <w:bCs w:val="0"/>
      <w:kern w:val="2"/>
      <w:sz w:val="30"/>
      <w:szCs w:val="30"/>
    </w:rPr>
  </w:style>
  <w:style w:type="paragraph" w:customStyle="1" w:styleId="273">
    <w:name w:val="样式 宋体 小四 灰色-80% 首行缩进:  0.85 厘米 行距: 1.5 倍行距"/>
    <w:basedOn w:val="1"/>
    <w:qFormat/>
    <w:uiPriority w:val="0"/>
    <w:pPr>
      <w:adjustRightInd w:val="0"/>
      <w:spacing w:line="360" w:lineRule="auto"/>
      <w:ind w:firstLine="480"/>
      <w:textAlignment w:val="baseline"/>
    </w:pPr>
    <w:rPr>
      <w:rFonts w:ascii="宋体" w:hAnsi="宋体" w:eastAsia="宋体" w:cs="宋体"/>
      <w:color w:val="333333"/>
      <w:sz w:val="24"/>
      <w:szCs w:val="20"/>
    </w:rPr>
  </w:style>
  <w:style w:type="paragraph" w:customStyle="1" w:styleId="274">
    <w:name w:val="Char1"/>
    <w:basedOn w:val="1"/>
    <w:qFormat/>
    <w:uiPriority w:val="0"/>
    <w:rPr>
      <w:rFonts w:ascii="Tahoma" w:hAnsi="Tahoma" w:eastAsia="宋体" w:cs="Times New Roman"/>
      <w:sz w:val="24"/>
      <w:szCs w:val="20"/>
    </w:rPr>
  </w:style>
  <w:style w:type="paragraph" w:customStyle="1" w:styleId="275">
    <w:name w:val="图表目录1"/>
    <w:basedOn w:val="1"/>
    <w:next w:val="1"/>
    <w:qFormat/>
    <w:uiPriority w:val="0"/>
    <w:pPr>
      <w:ind w:left="840" w:leftChars="200" w:hanging="420" w:hangingChars="200"/>
    </w:pPr>
    <w:rPr>
      <w:rFonts w:ascii="宋体" w:hAnsi="Times New Roman" w:eastAsia="宋体" w:cs="Times New Roman"/>
      <w:szCs w:val="20"/>
    </w:rPr>
  </w:style>
  <w:style w:type="paragraph" w:customStyle="1" w:styleId="276">
    <w:name w:val="样式 标题 1H1第 ？ 章PIM 1h1h11heading 1TOC1st levelSection Hea...1"/>
    <w:basedOn w:val="2"/>
    <w:qFormat/>
    <w:uiPriority w:val="0"/>
    <w:pPr>
      <w:pageBreakBefore/>
      <w:shd w:val="pct10" w:color="auto" w:fill="auto"/>
      <w:tabs>
        <w:tab w:val="left" w:pos="510"/>
      </w:tabs>
      <w:spacing w:before="340" w:after="330" w:line="578" w:lineRule="auto"/>
      <w:ind w:firstLine="0" w:firstLineChars="0"/>
      <w:jc w:val="center"/>
    </w:pPr>
    <w:rPr>
      <w:rFonts w:ascii="Times New Roman" w:hAnsi="Times New Roman"/>
      <w:sz w:val="48"/>
      <w:szCs w:val="48"/>
    </w:rPr>
  </w:style>
  <w:style w:type="paragraph" w:customStyle="1" w:styleId="277">
    <w:name w:val="解释字体"/>
    <w:basedOn w:val="1"/>
    <w:qFormat/>
    <w:uiPriority w:val="0"/>
    <w:pPr>
      <w:widowControl/>
      <w:spacing w:after="80"/>
      <w:jc w:val="left"/>
    </w:pPr>
    <w:rPr>
      <w:rFonts w:ascii="Times New Roman" w:hAnsi="Times New Roman" w:eastAsia="宋体" w:cs="Times New Roman"/>
      <w:i/>
      <w:snapToGrid w:val="0"/>
      <w:color w:val="0000FF"/>
      <w:kern w:val="0"/>
      <w:sz w:val="24"/>
      <w:szCs w:val="20"/>
    </w:rPr>
  </w:style>
  <w:style w:type="paragraph" w:customStyle="1" w:styleId="278">
    <w:name w:val="神州数码正文"/>
    <w:basedOn w:val="266"/>
    <w:qFormat/>
    <w:uiPriority w:val="0"/>
    <w:pPr>
      <w:spacing w:line="360" w:lineRule="auto"/>
      <w:ind w:firstLine="540" w:firstLineChars="225"/>
    </w:pPr>
    <w:rPr>
      <w:rFonts w:ascii="Book Antiqua" w:hAnsi="Book Antiqua"/>
      <w:color w:val="000000"/>
      <w:sz w:val="24"/>
    </w:rPr>
  </w:style>
  <w:style w:type="paragraph" w:customStyle="1" w:styleId="279">
    <w:name w:val="bullet - lucy"/>
    <w:basedOn w:val="1"/>
    <w:qFormat/>
    <w:uiPriority w:val="0"/>
    <w:pPr>
      <w:widowControl/>
      <w:tabs>
        <w:tab w:val="left" w:pos="360"/>
      </w:tabs>
      <w:spacing w:before="60" w:after="60"/>
      <w:ind w:left="360" w:hanging="360"/>
      <w:jc w:val="left"/>
    </w:pPr>
    <w:rPr>
      <w:rFonts w:ascii="Times New Roman" w:hAnsi="Times New Roman" w:eastAsia="宋体" w:cs="Times New Roman"/>
      <w:kern w:val="0"/>
      <w:sz w:val="24"/>
      <w:szCs w:val="24"/>
    </w:rPr>
  </w:style>
  <w:style w:type="paragraph" w:customStyle="1" w:styleId="280">
    <w:name w:val="正文格式"/>
    <w:basedOn w:val="1"/>
    <w:qFormat/>
    <w:uiPriority w:val="0"/>
    <w:pPr>
      <w:spacing w:beforeLines="50" w:afterLines="50" w:line="360" w:lineRule="auto"/>
    </w:pPr>
    <w:rPr>
      <w:rFonts w:ascii="Times New Roman" w:hAnsi="Times New Roman" w:eastAsia="宋体" w:cs="Times New Roman"/>
      <w:szCs w:val="24"/>
    </w:rPr>
  </w:style>
  <w:style w:type="paragraph" w:customStyle="1" w:styleId="281">
    <w:name w:val="三级列表"/>
    <w:basedOn w:val="21"/>
    <w:qFormat/>
    <w:uiPriority w:val="0"/>
    <w:pPr>
      <w:numPr>
        <w:numId w:val="0"/>
      </w:numPr>
      <w:tabs>
        <w:tab w:val="left" w:pos="1701"/>
      </w:tabs>
      <w:spacing w:line="360" w:lineRule="auto"/>
      <w:ind w:left="1259" w:leftChars="400" w:hanging="425" w:hangingChars="200"/>
    </w:pPr>
    <w:rPr>
      <w:rFonts w:ascii="Times New Roman"/>
      <w:sz w:val="24"/>
    </w:rPr>
  </w:style>
  <w:style w:type="paragraph" w:customStyle="1" w:styleId="282">
    <w:name w:val="样式 仿宋_GB2312 四号1"/>
    <w:basedOn w:val="1"/>
    <w:qFormat/>
    <w:uiPriority w:val="0"/>
    <w:pPr>
      <w:spacing w:before="100" w:beforeAutospacing="1" w:after="100" w:afterAutospacing="1" w:line="360" w:lineRule="auto"/>
    </w:pPr>
    <w:rPr>
      <w:rFonts w:ascii="Arial" w:hAnsi="Arial" w:eastAsia="宋体" w:cs="Arial"/>
      <w:kern w:val="36"/>
      <w:szCs w:val="21"/>
    </w:rPr>
  </w:style>
  <w:style w:type="paragraph" w:customStyle="1" w:styleId="283">
    <w:name w:val="二级正文"/>
    <w:basedOn w:val="1"/>
    <w:qFormat/>
    <w:uiPriority w:val="0"/>
    <w:pPr>
      <w:adjustRightInd w:val="0"/>
      <w:spacing w:before="120" w:line="288" w:lineRule="auto"/>
      <w:ind w:left="420" w:firstLine="420"/>
      <w:jc w:val="left"/>
      <w:textAlignment w:val="baseline"/>
    </w:pPr>
    <w:rPr>
      <w:rFonts w:ascii="Times New Roman" w:hAnsi="Times New Roman" w:eastAsia="宋体" w:cs="宋体"/>
      <w:kern w:val="0"/>
      <w:szCs w:val="20"/>
    </w:rPr>
  </w:style>
  <w:style w:type="paragraph" w:customStyle="1" w:styleId="284">
    <w:name w:val="表格首行"/>
    <w:basedOn w:val="1"/>
    <w:qFormat/>
    <w:uiPriority w:val="0"/>
    <w:pPr>
      <w:jc w:val="center"/>
    </w:pPr>
    <w:rPr>
      <w:rFonts w:ascii="宋体" w:hAnsi="宋体" w:eastAsia="宋体" w:cs="Times New Roman"/>
      <w:szCs w:val="24"/>
    </w:rPr>
  </w:style>
  <w:style w:type="paragraph" w:customStyle="1" w:styleId="285">
    <w:name w:val="asymbollist"/>
    <w:basedOn w:val="1"/>
    <w:qFormat/>
    <w:uiPriority w:val="0"/>
    <w:pPr>
      <w:numPr>
        <w:ilvl w:val="0"/>
        <w:numId w:val="9"/>
      </w:numPr>
      <w:tabs>
        <w:tab w:val="left" w:pos="840"/>
      </w:tabs>
      <w:spacing w:beforeLines="50" w:afterLines="50" w:line="360" w:lineRule="auto"/>
      <w:jc w:val="left"/>
    </w:pPr>
    <w:rPr>
      <w:rFonts w:ascii="Times New Roman" w:hAnsi="Times New Roman" w:eastAsia="宋体" w:cs="Times New Roman"/>
      <w:bCs/>
      <w:szCs w:val="24"/>
    </w:rPr>
  </w:style>
  <w:style w:type="paragraph" w:customStyle="1" w:styleId="286">
    <w:name w:val="列表2"/>
    <w:basedOn w:val="41"/>
    <w:next w:val="1"/>
    <w:qFormat/>
    <w:uiPriority w:val="0"/>
    <w:pPr>
      <w:widowControl/>
      <w:numPr>
        <w:ilvl w:val="0"/>
        <w:numId w:val="10"/>
      </w:numPr>
      <w:ind w:left="1559" w:hanging="420"/>
      <w:contextualSpacing/>
    </w:pPr>
    <w:rPr>
      <w:sz w:val="21"/>
      <w:szCs w:val="20"/>
    </w:rPr>
  </w:style>
  <w:style w:type="table" w:customStyle="1" w:styleId="287">
    <w:name w:val="网格型1"/>
    <w:basedOn w:val="58"/>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288">
    <w:name w:val="正文首行缩进 + Times New Roman 五号 首行缩进:  0.74 厘米 段前: 7.8 磅 段后: ..."/>
    <w:basedOn w:val="1"/>
    <w:qFormat/>
    <w:uiPriority w:val="0"/>
    <w:pPr>
      <w:spacing w:beforeLines="50" w:afterLines="50"/>
      <w:ind w:firstLine="420"/>
    </w:pPr>
    <w:rPr>
      <w:rFonts w:ascii="Times New Roman" w:hAnsi="Times New Roman" w:eastAsia="宋体" w:cs="宋体"/>
      <w:szCs w:val="21"/>
    </w:rPr>
  </w:style>
  <w:style w:type="paragraph" w:customStyle="1" w:styleId="289">
    <w:name w:val="p16"/>
    <w:basedOn w:val="1"/>
    <w:qFormat/>
    <w:uiPriority w:val="0"/>
    <w:pPr>
      <w:widowControl/>
    </w:pPr>
    <w:rPr>
      <w:rFonts w:ascii="Times New Roman" w:hAnsi="Times New Roman" w:eastAsia="宋体" w:cs="Times New Roman"/>
      <w:kern w:val="0"/>
      <w:sz w:val="24"/>
      <w:szCs w:val="24"/>
    </w:rPr>
  </w:style>
  <w:style w:type="paragraph" w:customStyle="1" w:styleId="290">
    <w:name w:val="Char2"/>
    <w:basedOn w:val="1"/>
    <w:qFormat/>
    <w:uiPriority w:val="0"/>
    <w:rPr>
      <w:rFonts w:ascii="Tahoma" w:hAnsi="Tahoma" w:eastAsia="宋体" w:cs="Times New Roman"/>
      <w:sz w:val="24"/>
      <w:szCs w:val="20"/>
    </w:rPr>
  </w:style>
  <w:style w:type="paragraph" w:customStyle="1" w:styleId="291">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92">
    <w:name w:val="TOC 标题2"/>
    <w:basedOn w:val="2"/>
    <w:next w:val="1"/>
    <w:unhideWhenUsed/>
    <w:qFormat/>
    <w:uiPriority w:val="39"/>
    <w:pPr>
      <w:spacing w:before="340" w:after="330" w:line="578" w:lineRule="auto"/>
      <w:ind w:firstLine="0" w:firstLineChars="0"/>
      <w:outlineLvl w:val="9"/>
    </w:pPr>
    <w:rPr>
      <w:rFonts w:asciiTheme="minorHAnsi" w:hAnsiTheme="minorHAnsi" w:eastAsiaTheme="minorEastAsia" w:cstheme="minorBidi"/>
    </w:rPr>
  </w:style>
  <w:style w:type="table" w:customStyle="1" w:styleId="293">
    <w:name w:val="网格型2"/>
    <w:basedOn w:val="5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94">
    <w:name w:val="列出段落3"/>
    <w:basedOn w:val="1"/>
    <w:qFormat/>
    <w:uiPriority w:val="99"/>
    <w:pPr>
      <w:widowControl/>
      <w:spacing w:line="360" w:lineRule="auto"/>
      <w:ind w:firstLine="420" w:firstLineChars="200"/>
      <w:jc w:val="left"/>
    </w:pPr>
    <w:rPr>
      <w:rFonts w:ascii="Times New Roman" w:hAnsi="Times New Roman" w:eastAsia="楷体" w:cs="Times New Roman"/>
      <w:sz w:val="24"/>
    </w:rPr>
  </w:style>
  <w:style w:type="paragraph" w:customStyle="1" w:styleId="295">
    <w:name w:val="正文(缩进) 五号"/>
    <w:basedOn w:val="1"/>
    <w:qFormat/>
    <w:uiPriority w:val="0"/>
    <w:pPr>
      <w:widowControl/>
      <w:spacing w:after="120" w:line="360" w:lineRule="auto"/>
      <w:ind w:firstLine="420" w:firstLineChars="200"/>
      <w:jc w:val="left"/>
    </w:pPr>
    <w:rPr>
      <w:rFonts w:ascii="Arial" w:hAnsi="Arial" w:eastAsia="宋体" w:cs="宋体"/>
      <w:kern w:val="0"/>
      <w:szCs w:val="20"/>
    </w:rPr>
  </w:style>
  <w:style w:type="paragraph" w:customStyle="1" w:styleId="296">
    <w:name w:val="列出段落4"/>
    <w:basedOn w:val="1"/>
    <w:qFormat/>
    <w:uiPriority w:val="34"/>
    <w:pPr>
      <w:ind w:firstLine="420" w:firstLineChars="200"/>
    </w:pPr>
    <w:rPr>
      <w:rFonts w:ascii="Calibri" w:hAnsi="Calibri" w:eastAsia="宋体" w:cs="Times New Roman"/>
    </w:rPr>
  </w:style>
  <w:style w:type="paragraph" w:customStyle="1" w:styleId="297">
    <w:name w:val="_Style 7"/>
    <w:basedOn w:val="1"/>
    <w:qFormat/>
    <w:uiPriority w:val="34"/>
    <w:pPr>
      <w:spacing w:line="360" w:lineRule="auto"/>
      <w:ind w:firstLine="420" w:firstLineChars="200"/>
      <w:jc w:val="left"/>
    </w:pPr>
    <w:rPr>
      <w:kern w:val="0"/>
      <w:szCs w:val="21"/>
    </w:rPr>
  </w:style>
  <w:style w:type="paragraph" w:customStyle="1" w:styleId="298">
    <w:name w:val="列出段落5"/>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emf"/><Relationship Id="rId21" Type="http://schemas.openxmlformats.org/officeDocument/2006/relationships/oleObject" Target="embeddings/oleObject2.bin"/><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1.bin"/><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5805</Words>
  <Characters>33092</Characters>
  <Lines>275</Lines>
  <Paragraphs>77</Paragraphs>
  <TotalTime>16</TotalTime>
  <ScaleCrop>false</ScaleCrop>
  <LinksUpToDate>false</LinksUpToDate>
  <CharactersWithSpaces>38820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2019-05-28T00:49:00Z</dcterms:created>
  <dc:creator>qwe123</dc:creator>
  <cp:lastModifiedBy>NTKO</cp:lastModifiedBy>
  <dcterms:modified xsi:type="dcterms:W3CDTF">2019-05-30T03:16:53Z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